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equalWidth="0" w:num="1">
            <w:col w:w="14572"/>
          </w:cols>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198沧州市新华区人民检察院</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1393.99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1544.12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1393.99</w:t>
            </w:r>
          </w:p>
        </w:tc>
        <w:tc>
          <w:tcPr>
            <w:tcW w:w="4535" w:type="dxa"/>
            <w:vAlign w:val="center"/>
          </w:tcPr>
          <w:p>
            <w:pPr>
              <w:pStyle w:val="17"/>
            </w:pPr>
            <w:r>
              <w:t>本年支出合计</w:t>
            </w:r>
          </w:p>
        </w:tc>
        <w:tc>
          <w:tcPr>
            <w:tcW w:w="2126" w:type="dxa"/>
            <w:vAlign w:val="center"/>
          </w:tcPr>
          <w:p>
            <w:pPr>
              <w:pStyle w:val="18"/>
            </w:pPr>
            <w:r>
              <w:t>1544.12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150.13</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1544.12</w:t>
            </w:r>
          </w:p>
        </w:tc>
        <w:tc>
          <w:tcPr>
            <w:tcW w:w="4535" w:type="dxa"/>
            <w:vAlign w:val="center"/>
          </w:tcPr>
          <w:p>
            <w:pPr>
              <w:pStyle w:val="17"/>
            </w:pPr>
            <w:r>
              <w:t>支出总计</w:t>
            </w:r>
          </w:p>
        </w:tc>
        <w:tc>
          <w:tcPr>
            <w:tcW w:w="2126" w:type="dxa"/>
            <w:vAlign w:val="center"/>
          </w:tcPr>
          <w:p>
            <w:pPr>
              <w:pStyle w:val="18"/>
            </w:pPr>
            <w:r>
              <w:t>1544.12</w:t>
            </w:r>
          </w:p>
        </w:tc>
      </w:tr>
    </w:tbl>
    <w:p>
      <w:pPr>
        <w:sectPr>
          <w:footerReference r:id="rId3" w:type="default"/>
          <w:footerReference r:id="rId4" w:type="even"/>
          <w:pgSz w:w="16840" w:h="11900" w:orient="landscape"/>
          <w:pgMar w:top="1361" w:right="1020" w:bottom="1134" w:left="1020" w:header="720" w:footer="720" w:gutter="0"/>
          <w:pgNumType w:start="1"/>
          <w:cols w:equalWidth="0" w:num="1">
            <w:col w:w="14800"/>
          </w:cols>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198沧州市新华区人民检察院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1544.12</w:t>
            </w:r>
          </w:p>
        </w:tc>
        <w:tc>
          <w:tcPr>
            <w:tcW w:w="1134" w:type="dxa"/>
            <w:vAlign w:val="center"/>
          </w:tcPr>
          <w:p>
            <w:pPr>
              <w:pStyle w:val="18"/>
            </w:pPr>
            <w:r>
              <w:t>1393.99</w:t>
            </w:r>
          </w:p>
        </w:tc>
        <w:tc>
          <w:tcPr>
            <w:tcW w:w="1134" w:type="dxa"/>
            <w:vAlign w:val="center"/>
          </w:tcPr>
          <w:p>
            <w:pPr>
              <w:pStyle w:val="18"/>
            </w:pPr>
            <w:r>
              <w:t>1393.99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150.13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1544.12</w:t>
            </w:r>
          </w:p>
        </w:tc>
        <w:tc>
          <w:tcPr>
            <w:tcW w:w="1134" w:type="dxa"/>
            <w:vAlign w:val="center"/>
          </w:tcPr>
          <w:p>
            <w:pPr>
              <w:pStyle w:val="14"/>
            </w:pPr>
            <w:r>
              <w:t>1393.99</w:t>
            </w:r>
          </w:p>
        </w:tc>
        <w:tc>
          <w:tcPr>
            <w:tcW w:w="1134" w:type="dxa"/>
            <w:vAlign w:val="center"/>
          </w:tcPr>
          <w:p>
            <w:pPr>
              <w:pStyle w:val="14"/>
            </w:pPr>
            <w:r>
              <w:t>1393.99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20404</w:t>
            </w:r>
          </w:p>
        </w:tc>
        <w:tc>
          <w:tcPr>
            <w:tcW w:w="1559" w:type="dxa"/>
            <w:vAlign w:val="center"/>
          </w:tcPr>
          <w:p>
            <w:pPr>
              <w:pStyle w:val="15"/>
            </w:pPr>
            <w:r>
              <w:t>检察</w:t>
            </w:r>
          </w:p>
        </w:tc>
        <w:tc>
          <w:tcPr>
            <w:tcW w:w="1134" w:type="dxa"/>
            <w:vAlign w:val="center"/>
          </w:tcPr>
          <w:p>
            <w:pPr>
              <w:pStyle w:val="14"/>
            </w:pPr>
            <w:r>
              <w:t>1510.12</w:t>
            </w:r>
          </w:p>
        </w:tc>
        <w:tc>
          <w:tcPr>
            <w:tcW w:w="1134" w:type="dxa"/>
            <w:vAlign w:val="center"/>
          </w:tcPr>
          <w:p>
            <w:pPr>
              <w:pStyle w:val="14"/>
            </w:pPr>
            <w:r>
              <w:t>1389.99</w:t>
            </w:r>
          </w:p>
        </w:tc>
        <w:tc>
          <w:tcPr>
            <w:tcW w:w="1134" w:type="dxa"/>
            <w:vAlign w:val="center"/>
          </w:tcPr>
          <w:p>
            <w:pPr>
              <w:pStyle w:val="14"/>
            </w:pPr>
            <w:r>
              <w:t>1389.99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2040401</w:t>
            </w:r>
          </w:p>
        </w:tc>
        <w:tc>
          <w:tcPr>
            <w:tcW w:w="1559" w:type="dxa"/>
            <w:vAlign w:val="center"/>
          </w:tcPr>
          <w:p>
            <w:pPr>
              <w:pStyle w:val="15"/>
            </w:pPr>
            <w:r>
              <w:t>行政运行</w:t>
            </w:r>
          </w:p>
        </w:tc>
        <w:tc>
          <w:tcPr>
            <w:tcW w:w="1134" w:type="dxa"/>
            <w:vAlign w:val="center"/>
          </w:tcPr>
          <w:p>
            <w:pPr>
              <w:pStyle w:val="14"/>
            </w:pPr>
            <w:r>
              <w:t>1163.99</w:t>
            </w:r>
          </w:p>
        </w:tc>
        <w:tc>
          <w:tcPr>
            <w:tcW w:w="1134" w:type="dxa"/>
            <w:vAlign w:val="center"/>
          </w:tcPr>
          <w:p>
            <w:pPr>
              <w:pStyle w:val="14"/>
            </w:pPr>
            <w:r>
              <w:t>1163.99</w:t>
            </w:r>
          </w:p>
        </w:tc>
        <w:tc>
          <w:tcPr>
            <w:tcW w:w="1134" w:type="dxa"/>
            <w:vAlign w:val="center"/>
          </w:tcPr>
          <w:p>
            <w:pPr>
              <w:pStyle w:val="14"/>
            </w:pPr>
            <w:r>
              <w:t>1163.99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2040402</w:t>
            </w:r>
          </w:p>
        </w:tc>
        <w:tc>
          <w:tcPr>
            <w:tcW w:w="1559" w:type="dxa"/>
            <w:vAlign w:val="center"/>
          </w:tcPr>
          <w:p>
            <w:pPr>
              <w:pStyle w:val="15"/>
            </w:pPr>
            <w:r>
              <w:t>一般行政管理事务</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2040499</w:t>
            </w:r>
          </w:p>
        </w:tc>
        <w:tc>
          <w:tcPr>
            <w:tcW w:w="1559" w:type="dxa"/>
            <w:vAlign w:val="center"/>
          </w:tcPr>
          <w:p>
            <w:pPr>
              <w:pStyle w:val="15"/>
            </w:pPr>
            <w:r>
              <w:t>其他检察支出</w:t>
            </w:r>
          </w:p>
        </w:tc>
        <w:tc>
          <w:tcPr>
            <w:tcW w:w="1134" w:type="dxa"/>
            <w:vAlign w:val="center"/>
          </w:tcPr>
          <w:p>
            <w:pPr>
              <w:pStyle w:val="14"/>
            </w:pPr>
            <w:r>
              <w:t>311.13</w:t>
            </w:r>
          </w:p>
        </w:tc>
        <w:tc>
          <w:tcPr>
            <w:tcW w:w="1134" w:type="dxa"/>
            <w:vAlign w:val="center"/>
          </w:tcPr>
          <w:p>
            <w:pPr>
              <w:pStyle w:val="14"/>
            </w:pPr>
            <w:r>
              <w:t>191.00</w:t>
            </w:r>
          </w:p>
        </w:tc>
        <w:tc>
          <w:tcPr>
            <w:tcW w:w="1134" w:type="dxa"/>
            <w:vAlign w:val="center"/>
          </w:tcPr>
          <w:p>
            <w:pPr>
              <w:pStyle w:val="14"/>
            </w:pPr>
            <w:r>
              <w:t>191.00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20499</w:t>
            </w:r>
          </w:p>
        </w:tc>
        <w:tc>
          <w:tcPr>
            <w:tcW w:w="1559" w:type="dxa"/>
            <w:vAlign w:val="center"/>
          </w:tcPr>
          <w:p>
            <w:pPr>
              <w:pStyle w:val="15"/>
            </w:pPr>
            <w:r>
              <w:t>其他公共安全支出</w:t>
            </w:r>
          </w:p>
        </w:tc>
        <w:tc>
          <w:tcPr>
            <w:tcW w:w="1134" w:type="dxa"/>
            <w:vAlign w:val="center"/>
          </w:tcPr>
          <w:p>
            <w:pPr>
              <w:pStyle w:val="14"/>
            </w:pPr>
            <w:r>
              <w:t>34.00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2049902</w:t>
            </w:r>
          </w:p>
        </w:tc>
        <w:tc>
          <w:tcPr>
            <w:tcW w:w="1559" w:type="dxa"/>
            <w:vAlign w:val="center"/>
          </w:tcPr>
          <w:p>
            <w:pPr>
              <w:pStyle w:val="15"/>
            </w:pPr>
            <w:r>
              <w:t>国家司法救助支出</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2049999</w:t>
            </w:r>
          </w:p>
        </w:tc>
        <w:tc>
          <w:tcPr>
            <w:tcW w:w="1559" w:type="dxa"/>
            <w:vAlign w:val="center"/>
          </w:tcPr>
          <w:p>
            <w:pPr>
              <w:pStyle w:val="15"/>
            </w:pPr>
            <w:r>
              <w:t>其他公共安全支出</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bl>
    <w:p>
      <w:pPr>
        <w:sectPr>
          <w:pgSz w:w="16840" w:h="11900" w:orient="landscape"/>
          <w:pgMar w:top="1361" w:right="1020" w:bottom="1134" w:left="1020" w:header="720" w:footer="720" w:gutter="0"/>
          <w:cols w:equalWidth="0" w:num="1">
            <w:col w:w="14800"/>
          </w:cols>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1544.12</w:t>
            </w:r>
          </w:p>
        </w:tc>
        <w:tc>
          <w:tcPr>
            <w:tcW w:w="1361" w:type="dxa"/>
            <w:vAlign w:val="center"/>
          </w:tcPr>
          <w:p>
            <w:pPr>
              <w:pStyle w:val="18"/>
            </w:pPr>
            <w:r>
              <w:t>1163.99</w:t>
            </w:r>
          </w:p>
        </w:tc>
        <w:tc>
          <w:tcPr>
            <w:tcW w:w="1361" w:type="dxa"/>
            <w:vAlign w:val="center"/>
          </w:tcPr>
          <w:p>
            <w:pPr>
              <w:pStyle w:val="18"/>
            </w:pPr>
            <w:r>
              <w:t>380.13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1544.12</w:t>
            </w:r>
          </w:p>
        </w:tc>
        <w:tc>
          <w:tcPr>
            <w:tcW w:w="1361" w:type="dxa"/>
            <w:vAlign w:val="center"/>
          </w:tcPr>
          <w:p>
            <w:pPr>
              <w:pStyle w:val="14"/>
            </w:pPr>
            <w:r>
              <w:t>1163.99</w:t>
            </w:r>
          </w:p>
        </w:tc>
        <w:tc>
          <w:tcPr>
            <w:tcW w:w="1361" w:type="dxa"/>
            <w:vAlign w:val="center"/>
          </w:tcPr>
          <w:p>
            <w:pPr>
              <w:pStyle w:val="14"/>
            </w:pPr>
            <w:r>
              <w:t>380.13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20404</w:t>
            </w:r>
          </w:p>
        </w:tc>
        <w:tc>
          <w:tcPr>
            <w:tcW w:w="4535" w:type="dxa"/>
            <w:vAlign w:val="center"/>
          </w:tcPr>
          <w:p>
            <w:pPr>
              <w:pStyle w:val="15"/>
            </w:pPr>
            <w:r>
              <w:t>检察</w:t>
            </w:r>
          </w:p>
        </w:tc>
        <w:tc>
          <w:tcPr>
            <w:tcW w:w="1361" w:type="dxa"/>
            <w:vAlign w:val="center"/>
          </w:tcPr>
          <w:p>
            <w:pPr>
              <w:pStyle w:val="14"/>
            </w:pPr>
            <w:r>
              <w:t>1510.12</w:t>
            </w:r>
          </w:p>
        </w:tc>
        <w:tc>
          <w:tcPr>
            <w:tcW w:w="1361" w:type="dxa"/>
            <w:vAlign w:val="center"/>
          </w:tcPr>
          <w:p>
            <w:pPr>
              <w:pStyle w:val="14"/>
            </w:pPr>
            <w:r>
              <w:t>1163.99</w:t>
            </w:r>
          </w:p>
        </w:tc>
        <w:tc>
          <w:tcPr>
            <w:tcW w:w="1361" w:type="dxa"/>
            <w:vAlign w:val="center"/>
          </w:tcPr>
          <w:p>
            <w:pPr>
              <w:pStyle w:val="14"/>
            </w:pPr>
            <w:r>
              <w:t>346.13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2040401</w:t>
            </w:r>
          </w:p>
        </w:tc>
        <w:tc>
          <w:tcPr>
            <w:tcW w:w="4535" w:type="dxa"/>
            <w:vAlign w:val="center"/>
          </w:tcPr>
          <w:p>
            <w:pPr>
              <w:pStyle w:val="15"/>
            </w:pPr>
            <w:r>
              <w:t>行政运行</w:t>
            </w:r>
          </w:p>
        </w:tc>
        <w:tc>
          <w:tcPr>
            <w:tcW w:w="1361" w:type="dxa"/>
            <w:vAlign w:val="center"/>
          </w:tcPr>
          <w:p>
            <w:pPr>
              <w:pStyle w:val="14"/>
            </w:pPr>
            <w:r>
              <w:t>1163.99</w:t>
            </w:r>
          </w:p>
        </w:tc>
        <w:tc>
          <w:tcPr>
            <w:tcW w:w="1361" w:type="dxa"/>
            <w:vAlign w:val="center"/>
          </w:tcPr>
          <w:p>
            <w:pPr>
              <w:pStyle w:val="14"/>
            </w:pPr>
            <w:r>
              <w:t>1163.99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2040402</w:t>
            </w:r>
          </w:p>
        </w:tc>
        <w:tc>
          <w:tcPr>
            <w:tcW w:w="4535" w:type="dxa"/>
            <w:vAlign w:val="center"/>
          </w:tcPr>
          <w:p>
            <w:pPr>
              <w:pStyle w:val="15"/>
            </w:pPr>
            <w:r>
              <w:t>一般行政管理事务</w:t>
            </w:r>
          </w:p>
        </w:tc>
        <w:tc>
          <w:tcPr>
            <w:tcW w:w="1361" w:type="dxa"/>
            <w:vAlign w:val="center"/>
          </w:tcPr>
          <w:p>
            <w:pPr>
              <w:pStyle w:val="14"/>
            </w:pPr>
            <w:r>
              <w:t>35.00</w:t>
            </w:r>
          </w:p>
        </w:tc>
        <w:tc>
          <w:tcPr>
            <w:tcW w:w="1361" w:type="dxa"/>
            <w:vAlign w:val="center"/>
          </w:tcPr>
          <w:p>
            <w:pPr>
              <w:pStyle w:val="14"/>
            </w:pPr>
          </w:p>
        </w:tc>
        <w:tc>
          <w:tcPr>
            <w:tcW w:w="1361" w:type="dxa"/>
            <w:vAlign w:val="center"/>
          </w:tcPr>
          <w:p>
            <w:pPr>
              <w:pStyle w:val="14"/>
            </w:pPr>
            <w:r>
              <w:t>35.00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2040499</w:t>
            </w:r>
          </w:p>
        </w:tc>
        <w:tc>
          <w:tcPr>
            <w:tcW w:w="4535" w:type="dxa"/>
            <w:vAlign w:val="center"/>
          </w:tcPr>
          <w:p>
            <w:pPr>
              <w:pStyle w:val="15"/>
            </w:pPr>
            <w:r>
              <w:t>其他检察支出</w:t>
            </w:r>
          </w:p>
        </w:tc>
        <w:tc>
          <w:tcPr>
            <w:tcW w:w="1361" w:type="dxa"/>
            <w:vAlign w:val="center"/>
          </w:tcPr>
          <w:p>
            <w:pPr>
              <w:pStyle w:val="14"/>
            </w:pPr>
            <w:r>
              <w:t>311.13</w:t>
            </w:r>
          </w:p>
        </w:tc>
        <w:tc>
          <w:tcPr>
            <w:tcW w:w="1361" w:type="dxa"/>
            <w:vAlign w:val="center"/>
          </w:tcPr>
          <w:p>
            <w:pPr>
              <w:pStyle w:val="14"/>
            </w:pPr>
          </w:p>
        </w:tc>
        <w:tc>
          <w:tcPr>
            <w:tcW w:w="1361" w:type="dxa"/>
            <w:vAlign w:val="center"/>
          </w:tcPr>
          <w:p>
            <w:pPr>
              <w:pStyle w:val="14"/>
            </w:pPr>
            <w:r>
              <w:t>311.13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20499</w:t>
            </w:r>
          </w:p>
        </w:tc>
        <w:tc>
          <w:tcPr>
            <w:tcW w:w="4535" w:type="dxa"/>
            <w:vAlign w:val="center"/>
          </w:tcPr>
          <w:p>
            <w:pPr>
              <w:pStyle w:val="15"/>
            </w:pPr>
            <w:r>
              <w:t>其他公共安全支出</w:t>
            </w:r>
          </w:p>
        </w:tc>
        <w:tc>
          <w:tcPr>
            <w:tcW w:w="1361" w:type="dxa"/>
            <w:vAlign w:val="center"/>
          </w:tcPr>
          <w:p>
            <w:pPr>
              <w:pStyle w:val="14"/>
            </w:pPr>
            <w:r>
              <w:t>34.00</w:t>
            </w:r>
          </w:p>
        </w:tc>
        <w:tc>
          <w:tcPr>
            <w:tcW w:w="1361" w:type="dxa"/>
            <w:vAlign w:val="center"/>
          </w:tcPr>
          <w:p>
            <w:pPr>
              <w:pStyle w:val="14"/>
            </w:pPr>
          </w:p>
        </w:tc>
        <w:tc>
          <w:tcPr>
            <w:tcW w:w="1361" w:type="dxa"/>
            <w:vAlign w:val="center"/>
          </w:tcPr>
          <w:p>
            <w:pPr>
              <w:pStyle w:val="14"/>
            </w:pPr>
            <w:r>
              <w:t>34.00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2049902</w:t>
            </w:r>
          </w:p>
        </w:tc>
        <w:tc>
          <w:tcPr>
            <w:tcW w:w="4535" w:type="dxa"/>
            <w:vAlign w:val="center"/>
          </w:tcPr>
          <w:p>
            <w:pPr>
              <w:pStyle w:val="15"/>
            </w:pPr>
            <w:r>
              <w:t>国家司法救助支出</w:t>
            </w: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r>
              <w:t>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2049999</w:t>
            </w:r>
          </w:p>
        </w:tc>
        <w:tc>
          <w:tcPr>
            <w:tcW w:w="4535" w:type="dxa"/>
            <w:vAlign w:val="center"/>
          </w:tcPr>
          <w:p>
            <w:pPr>
              <w:pStyle w:val="15"/>
            </w:pPr>
            <w:r>
              <w:t>其他公共安全支出</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1393.99</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1544.12</w:t>
            </w:r>
          </w:p>
        </w:tc>
        <w:tc>
          <w:tcPr>
            <w:tcW w:w="1474" w:type="dxa"/>
            <w:vAlign w:val="center"/>
          </w:tcPr>
          <w:p>
            <w:pPr>
              <w:pStyle w:val="14"/>
            </w:pPr>
            <w:r>
              <w:t>1544.12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1393.99</w:t>
            </w:r>
          </w:p>
        </w:tc>
        <w:tc>
          <w:tcPr>
            <w:tcW w:w="3402" w:type="dxa"/>
            <w:vAlign w:val="center"/>
          </w:tcPr>
          <w:p>
            <w:pPr>
              <w:pStyle w:val="17"/>
            </w:pPr>
            <w:r>
              <w:t>本年支出合计</w:t>
            </w:r>
          </w:p>
        </w:tc>
        <w:tc>
          <w:tcPr>
            <w:tcW w:w="1474" w:type="dxa"/>
            <w:vAlign w:val="center"/>
          </w:tcPr>
          <w:p>
            <w:pPr>
              <w:pStyle w:val="18"/>
            </w:pPr>
            <w:r>
              <w:t>1544.12</w:t>
            </w:r>
          </w:p>
        </w:tc>
        <w:tc>
          <w:tcPr>
            <w:tcW w:w="1474" w:type="dxa"/>
            <w:vAlign w:val="center"/>
          </w:tcPr>
          <w:p>
            <w:pPr>
              <w:pStyle w:val="18"/>
            </w:pPr>
            <w:r>
              <w:t>1544.12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150.13</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150.13</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1544.12</w:t>
            </w:r>
          </w:p>
        </w:tc>
        <w:tc>
          <w:tcPr>
            <w:tcW w:w="3402" w:type="dxa"/>
            <w:vAlign w:val="center"/>
          </w:tcPr>
          <w:p>
            <w:pPr>
              <w:pStyle w:val="17"/>
            </w:pPr>
            <w:r>
              <w:t>支出总计</w:t>
            </w:r>
          </w:p>
        </w:tc>
        <w:tc>
          <w:tcPr>
            <w:tcW w:w="1474" w:type="dxa"/>
            <w:vAlign w:val="center"/>
          </w:tcPr>
          <w:p>
            <w:pPr>
              <w:pStyle w:val="18"/>
            </w:pPr>
            <w:r>
              <w:t>1544.12</w:t>
            </w:r>
          </w:p>
        </w:tc>
        <w:tc>
          <w:tcPr>
            <w:tcW w:w="1474" w:type="dxa"/>
            <w:vAlign w:val="center"/>
          </w:tcPr>
          <w:p>
            <w:pPr>
              <w:pStyle w:val="18"/>
            </w:pPr>
            <w:r>
              <w:t>1544.12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1544.12</w:t>
            </w:r>
          </w:p>
        </w:tc>
        <w:tc>
          <w:tcPr>
            <w:tcW w:w="2551" w:type="dxa"/>
            <w:vAlign w:val="center"/>
          </w:tcPr>
          <w:p>
            <w:pPr>
              <w:pStyle w:val="18"/>
            </w:pPr>
            <w:r>
              <w:t>1163.99</w:t>
            </w:r>
          </w:p>
        </w:tc>
        <w:tc>
          <w:tcPr>
            <w:tcW w:w="2551" w:type="dxa"/>
            <w:vAlign w:val="center"/>
          </w:tcPr>
          <w:p>
            <w:pPr>
              <w:pStyle w:val="18"/>
            </w:pPr>
            <w:r>
              <w:t>380.13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1544.12</w:t>
            </w:r>
          </w:p>
        </w:tc>
        <w:tc>
          <w:tcPr>
            <w:tcW w:w="2551" w:type="dxa"/>
            <w:vAlign w:val="center"/>
          </w:tcPr>
          <w:p>
            <w:pPr>
              <w:pStyle w:val="14"/>
            </w:pPr>
            <w:r>
              <w:t>1163.99</w:t>
            </w:r>
          </w:p>
        </w:tc>
        <w:tc>
          <w:tcPr>
            <w:tcW w:w="2551" w:type="dxa"/>
            <w:vAlign w:val="center"/>
          </w:tcPr>
          <w:p>
            <w:pPr>
              <w:pStyle w:val="14"/>
            </w:pPr>
            <w:r>
              <w:t>380.13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20404</w:t>
            </w:r>
          </w:p>
        </w:tc>
        <w:tc>
          <w:tcPr>
            <w:tcW w:w="4535" w:type="dxa"/>
            <w:vAlign w:val="center"/>
          </w:tcPr>
          <w:p>
            <w:pPr>
              <w:pStyle w:val="15"/>
            </w:pPr>
            <w:r>
              <w:t>检察</w:t>
            </w:r>
          </w:p>
        </w:tc>
        <w:tc>
          <w:tcPr>
            <w:tcW w:w="2551" w:type="dxa"/>
            <w:vAlign w:val="center"/>
          </w:tcPr>
          <w:p>
            <w:pPr>
              <w:pStyle w:val="14"/>
            </w:pPr>
            <w:r>
              <w:t>1510.12</w:t>
            </w:r>
          </w:p>
        </w:tc>
        <w:tc>
          <w:tcPr>
            <w:tcW w:w="2551" w:type="dxa"/>
            <w:vAlign w:val="center"/>
          </w:tcPr>
          <w:p>
            <w:pPr>
              <w:pStyle w:val="14"/>
            </w:pPr>
            <w:r>
              <w:t>1163.99</w:t>
            </w:r>
          </w:p>
        </w:tc>
        <w:tc>
          <w:tcPr>
            <w:tcW w:w="2551" w:type="dxa"/>
            <w:vAlign w:val="center"/>
          </w:tcPr>
          <w:p>
            <w:pPr>
              <w:pStyle w:val="14"/>
            </w:pPr>
            <w:r>
              <w:t>346.13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2040401</w:t>
            </w:r>
          </w:p>
        </w:tc>
        <w:tc>
          <w:tcPr>
            <w:tcW w:w="4535" w:type="dxa"/>
            <w:vAlign w:val="center"/>
          </w:tcPr>
          <w:p>
            <w:pPr>
              <w:pStyle w:val="15"/>
            </w:pPr>
            <w:r>
              <w:t>行政运行</w:t>
            </w:r>
          </w:p>
        </w:tc>
        <w:tc>
          <w:tcPr>
            <w:tcW w:w="2551" w:type="dxa"/>
            <w:vAlign w:val="center"/>
          </w:tcPr>
          <w:p>
            <w:pPr>
              <w:pStyle w:val="14"/>
            </w:pPr>
            <w:r>
              <w:t>1163.99</w:t>
            </w:r>
          </w:p>
        </w:tc>
        <w:tc>
          <w:tcPr>
            <w:tcW w:w="2551" w:type="dxa"/>
            <w:vAlign w:val="center"/>
          </w:tcPr>
          <w:p>
            <w:pPr>
              <w:pStyle w:val="14"/>
            </w:pPr>
            <w:r>
              <w:t>1163.99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2040402</w:t>
            </w:r>
          </w:p>
        </w:tc>
        <w:tc>
          <w:tcPr>
            <w:tcW w:w="4535" w:type="dxa"/>
            <w:vAlign w:val="center"/>
          </w:tcPr>
          <w:p>
            <w:pPr>
              <w:pStyle w:val="15"/>
            </w:pPr>
            <w:r>
              <w:t>一般行政管理事务</w:t>
            </w:r>
          </w:p>
        </w:tc>
        <w:tc>
          <w:tcPr>
            <w:tcW w:w="2551" w:type="dxa"/>
            <w:vAlign w:val="center"/>
          </w:tcPr>
          <w:p>
            <w:pPr>
              <w:pStyle w:val="14"/>
            </w:pPr>
            <w:r>
              <w:t>35.00</w:t>
            </w:r>
          </w:p>
        </w:tc>
        <w:tc>
          <w:tcPr>
            <w:tcW w:w="2551" w:type="dxa"/>
            <w:vAlign w:val="center"/>
          </w:tcPr>
          <w:p>
            <w:pPr>
              <w:pStyle w:val="14"/>
            </w:pPr>
          </w:p>
        </w:tc>
        <w:tc>
          <w:tcPr>
            <w:tcW w:w="2551" w:type="dxa"/>
            <w:vAlign w:val="center"/>
          </w:tcPr>
          <w:p>
            <w:pPr>
              <w:pStyle w:val="14"/>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2040499</w:t>
            </w:r>
          </w:p>
        </w:tc>
        <w:tc>
          <w:tcPr>
            <w:tcW w:w="4535" w:type="dxa"/>
            <w:vAlign w:val="center"/>
          </w:tcPr>
          <w:p>
            <w:pPr>
              <w:pStyle w:val="15"/>
            </w:pPr>
            <w:r>
              <w:t>其他检察支出</w:t>
            </w:r>
          </w:p>
        </w:tc>
        <w:tc>
          <w:tcPr>
            <w:tcW w:w="2551" w:type="dxa"/>
            <w:vAlign w:val="center"/>
          </w:tcPr>
          <w:p>
            <w:pPr>
              <w:pStyle w:val="14"/>
            </w:pPr>
            <w:r>
              <w:t>311.13</w:t>
            </w:r>
          </w:p>
        </w:tc>
        <w:tc>
          <w:tcPr>
            <w:tcW w:w="2551" w:type="dxa"/>
            <w:vAlign w:val="center"/>
          </w:tcPr>
          <w:p>
            <w:pPr>
              <w:pStyle w:val="14"/>
            </w:pPr>
          </w:p>
        </w:tc>
        <w:tc>
          <w:tcPr>
            <w:tcW w:w="2551" w:type="dxa"/>
            <w:vAlign w:val="center"/>
          </w:tcPr>
          <w:p>
            <w:pPr>
              <w:pStyle w:val="14"/>
            </w:pPr>
            <w:r>
              <w:t>311.13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20499</w:t>
            </w:r>
          </w:p>
        </w:tc>
        <w:tc>
          <w:tcPr>
            <w:tcW w:w="4535" w:type="dxa"/>
            <w:vAlign w:val="center"/>
          </w:tcPr>
          <w:p>
            <w:pPr>
              <w:pStyle w:val="15"/>
            </w:pPr>
            <w:r>
              <w:t>其他公共安全支出</w:t>
            </w:r>
          </w:p>
        </w:tc>
        <w:tc>
          <w:tcPr>
            <w:tcW w:w="2551" w:type="dxa"/>
            <w:vAlign w:val="center"/>
          </w:tcPr>
          <w:p>
            <w:pPr>
              <w:pStyle w:val="14"/>
            </w:pPr>
            <w:r>
              <w:t>34.00</w:t>
            </w:r>
          </w:p>
        </w:tc>
        <w:tc>
          <w:tcPr>
            <w:tcW w:w="2551" w:type="dxa"/>
            <w:vAlign w:val="center"/>
          </w:tcPr>
          <w:p>
            <w:pPr>
              <w:pStyle w:val="14"/>
            </w:pPr>
          </w:p>
        </w:tc>
        <w:tc>
          <w:tcPr>
            <w:tcW w:w="2551" w:type="dxa"/>
            <w:vAlign w:val="center"/>
          </w:tcPr>
          <w:p>
            <w:pPr>
              <w:pStyle w:val="14"/>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2049902</w:t>
            </w:r>
          </w:p>
        </w:tc>
        <w:tc>
          <w:tcPr>
            <w:tcW w:w="4535" w:type="dxa"/>
            <w:vAlign w:val="center"/>
          </w:tcPr>
          <w:p>
            <w:pPr>
              <w:pStyle w:val="15"/>
            </w:pPr>
            <w:r>
              <w:t>国家司法救助支出</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2049999</w:t>
            </w:r>
          </w:p>
        </w:tc>
        <w:tc>
          <w:tcPr>
            <w:tcW w:w="4535" w:type="dxa"/>
            <w:vAlign w:val="center"/>
          </w:tcPr>
          <w:p>
            <w:pPr>
              <w:pStyle w:val="15"/>
            </w:pPr>
            <w:r>
              <w:t>其他公共安全支出</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bl>
    <w:p>
      <w:pPr>
        <w:sectPr>
          <w:pgSz w:w="16840" w:h="11900" w:orient="landscape"/>
          <w:pgMar w:top="1361" w:right="1020" w:bottom="1134" w:left="1020" w:header="720" w:footer="720" w:gutter="0"/>
          <w:cols w:equalWidth="0" w:num="1">
            <w:col w:w="14800"/>
          </w:cols>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1163.99</w:t>
            </w:r>
          </w:p>
        </w:tc>
        <w:tc>
          <w:tcPr>
            <w:tcW w:w="2551" w:type="dxa"/>
            <w:vAlign w:val="center"/>
          </w:tcPr>
          <w:p>
            <w:pPr>
              <w:pStyle w:val="18"/>
            </w:pPr>
            <w:r>
              <w:t>946.49</w:t>
            </w:r>
          </w:p>
        </w:tc>
        <w:tc>
          <w:tcPr>
            <w:tcW w:w="2551" w:type="dxa"/>
            <w:vAlign w:val="center"/>
          </w:tcPr>
          <w:p>
            <w:pPr>
              <w:pStyle w:val="18"/>
            </w:pPr>
            <w:r>
              <w:t>217.50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814.35</w:t>
            </w:r>
          </w:p>
        </w:tc>
        <w:tc>
          <w:tcPr>
            <w:tcW w:w="2551" w:type="dxa"/>
            <w:vAlign w:val="center"/>
          </w:tcPr>
          <w:p>
            <w:pPr>
              <w:pStyle w:val="14"/>
            </w:pPr>
            <w:r>
              <w:t>814.35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160.98</w:t>
            </w:r>
          </w:p>
        </w:tc>
        <w:tc>
          <w:tcPr>
            <w:tcW w:w="2551" w:type="dxa"/>
            <w:vAlign w:val="center"/>
          </w:tcPr>
          <w:p>
            <w:pPr>
              <w:pStyle w:val="14"/>
            </w:pPr>
            <w:r>
              <w:t>160.98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171.37</w:t>
            </w:r>
          </w:p>
        </w:tc>
        <w:tc>
          <w:tcPr>
            <w:tcW w:w="2551" w:type="dxa"/>
            <w:vAlign w:val="center"/>
          </w:tcPr>
          <w:p>
            <w:pPr>
              <w:pStyle w:val="14"/>
            </w:pPr>
            <w:r>
              <w:t>171.37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183.72</w:t>
            </w:r>
          </w:p>
        </w:tc>
        <w:tc>
          <w:tcPr>
            <w:tcW w:w="2551" w:type="dxa"/>
            <w:vAlign w:val="center"/>
          </w:tcPr>
          <w:p>
            <w:pPr>
              <w:pStyle w:val="14"/>
            </w:pPr>
            <w:r>
              <w:t>183.72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57.95</w:t>
            </w:r>
          </w:p>
        </w:tc>
        <w:tc>
          <w:tcPr>
            <w:tcW w:w="2551" w:type="dxa"/>
            <w:vAlign w:val="center"/>
          </w:tcPr>
          <w:p>
            <w:pPr>
              <w:pStyle w:val="14"/>
            </w:pPr>
            <w:r>
              <w:t>57.95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21.69</w:t>
            </w:r>
          </w:p>
        </w:tc>
        <w:tc>
          <w:tcPr>
            <w:tcW w:w="2551" w:type="dxa"/>
            <w:vAlign w:val="center"/>
          </w:tcPr>
          <w:p>
            <w:pPr>
              <w:pStyle w:val="14"/>
            </w:pPr>
            <w:r>
              <w:t>21.69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35.49</w:t>
            </w:r>
          </w:p>
        </w:tc>
        <w:tc>
          <w:tcPr>
            <w:tcW w:w="2551" w:type="dxa"/>
            <w:vAlign w:val="center"/>
          </w:tcPr>
          <w:p>
            <w:pPr>
              <w:pStyle w:val="14"/>
            </w:pPr>
            <w:r>
              <w:t>35.49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1.45</w:t>
            </w:r>
          </w:p>
        </w:tc>
        <w:tc>
          <w:tcPr>
            <w:tcW w:w="2551" w:type="dxa"/>
            <w:vAlign w:val="center"/>
          </w:tcPr>
          <w:p>
            <w:pPr>
              <w:pStyle w:val="14"/>
            </w:pPr>
            <w:r>
              <w:t>1.45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47.29</w:t>
            </w:r>
          </w:p>
        </w:tc>
        <w:tc>
          <w:tcPr>
            <w:tcW w:w="2551" w:type="dxa"/>
            <w:vAlign w:val="center"/>
          </w:tcPr>
          <w:p>
            <w:pPr>
              <w:pStyle w:val="14"/>
            </w:pPr>
            <w:r>
              <w:t>47.29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134.41</w:t>
            </w:r>
          </w:p>
        </w:tc>
        <w:tc>
          <w:tcPr>
            <w:tcW w:w="2551" w:type="dxa"/>
            <w:vAlign w:val="center"/>
          </w:tcPr>
          <w:p>
            <w:pPr>
              <w:pStyle w:val="14"/>
            </w:pPr>
            <w:r>
              <w:t>134.41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209.15</w:t>
            </w:r>
          </w:p>
        </w:tc>
        <w:tc>
          <w:tcPr>
            <w:tcW w:w="2551" w:type="dxa"/>
            <w:vAlign w:val="center"/>
          </w:tcPr>
          <w:p>
            <w:pPr>
              <w:pStyle w:val="14"/>
            </w:pPr>
          </w:p>
        </w:tc>
        <w:tc>
          <w:tcPr>
            <w:tcW w:w="2551" w:type="dxa"/>
            <w:vAlign w:val="center"/>
          </w:tcPr>
          <w:p>
            <w:pPr>
              <w:pStyle w:val="14"/>
            </w:pPr>
            <w:r>
              <w:t>209.15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116.49</w:t>
            </w:r>
          </w:p>
        </w:tc>
        <w:tc>
          <w:tcPr>
            <w:tcW w:w="2551" w:type="dxa"/>
            <w:vAlign w:val="center"/>
          </w:tcPr>
          <w:p>
            <w:pPr>
              <w:pStyle w:val="14"/>
            </w:pPr>
          </w:p>
        </w:tc>
        <w:tc>
          <w:tcPr>
            <w:tcW w:w="2551" w:type="dxa"/>
            <w:vAlign w:val="center"/>
          </w:tcPr>
          <w:p>
            <w:pPr>
              <w:pStyle w:val="14"/>
            </w:pPr>
            <w:r>
              <w:t>116.49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3.42</w:t>
            </w:r>
          </w:p>
        </w:tc>
        <w:tc>
          <w:tcPr>
            <w:tcW w:w="2551" w:type="dxa"/>
            <w:vAlign w:val="center"/>
          </w:tcPr>
          <w:p>
            <w:pPr>
              <w:pStyle w:val="14"/>
            </w:pPr>
          </w:p>
        </w:tc>
        <w:tc>
          <w:tcPr>
            <w:tcW w:w="2551" w:type="dxa"/>
            <w:vAlign w:val="center"/>
          </w:tcPr>
          <w:p>
            <w:pPr>
              <w:pStyle w:val="14"/>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10.94</w:t>
            </w:r>
          </w:p>
        </w:tc>
        <w:tc>
          <w:tcPr>
            <w:tcW w:w="2551" w:type="dxa"/>
            <w:vAlign w:val="center"/>
          </w:tcPr>
          <w:p>
            <w:pPr>
              <w:pStyle w:val="14"/>
            </w:pPr>
          </w:p>
        </w:tc>
        <w:tc>
          <w:tcPr>
            <w:tcW w:w="2551" w:type="dxa"/>
            <w:vAlign w:val="center"/>
          </w:tcPr>
          <w:p>
            <w:pPr>
              <w:pStyle w:val="14"/>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36.65</w:t>
            </w:r>
          </w:p>
        </w:tc>
        <w:tc>
          <w:tcPr>
            <w:tcW w:w="2551" w:type="dxa"/>
            <w:vAlign w:val="center"/>
          </w:tcPr>
          <w:p>
            <w:pPr>
              <w:pStyle w:val="14"/>
            </w:pPr>
          </w:p>
        </w:tc>
        <w:tc>
          <w:tcPr>
            <w:tcW w:w="2551" w:type="dxa"/>
            <w:vAlign w:val="center"/>
          </w:tcPr>
          <w:p>
            <w:pPr>
              <w:pStyle w:val="14"/>
            </w:pPr>
            <w:r>
              <w:t>36.65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1.35</w:t>
            </w:r>
          </w:p>
        </w:tc>
        <w:tc>
          <w:tcPr>
            <w:tcW w:w="2551" w:type="dxa"/>
            <w:vAlign w:val="center"/>
          </w:tcPr>
          <w:p>
            <w:pPr>
              <w:pStyle w:val="14"/>
            </w:pPr>
          </w:p>
        </w:tc>
        <w:tc>
          <w:tcPr>
            <w:tcW w:w="2551" w:type="dxa"/>
            <w:vAlign w:val="center"/>
          </w:tcPr>
          <w:p>
            <w:pPr>
              <w:pStyle w:val="14"/>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2.14</w:t>
            </w:r>
          </w:p>
        </w:tc>
        <w:tc>
          <w:tcPr>
            <w:tcW w:w="2551" w:type="dxa"/>
            <w:vAlign w:val="center"/>
          </w:tcPr>
          <w:p>
            <w:pPr>
              <w:pStyle w:val="14"/>
            </w:pPr>
          </w:p>
        </w:tc>
        <w:tc>
          <w:tcPr>
            <w:tcW w:w="2551" w:type="dxa"/>
            <w:vAlign w:val="center"/>
          </w:tcPr>
          <w:p>
            <w:pPr>
              <w:pStyle w:val="14"/>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5.02</w:t>
            </w:r>
          </w:p>
        </w:tc>
        <w:tc>
          <w:tcPr>
            <w:tcW w:w="2551" w:type="dxa"/>
            <w:vAlign w:val="center"/>
          </w:tcPr>
          <w:p>
            <w:pPr>
              <w:pStyle w:val="14"/>
            </w:pPr>
          </w:p>
        </w:tc>
        <w:tc>
          <w:tcPr>
            <w:tcW w:w="2551" w:type="dxa"/>
            <w:vAlign w:val="center"/>
          </w:tcPr>
          <w:p>
            <w:pPr>
              <w:pStyle w:val="14"/>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3.68</w:t>
            </w:r>
          </w:p>
        </w:tc>
        <w:tc>
          <w:tcPr>
            <w:tcW w:w="2551" w:type="dxa"/>
            <w:vAlign w:val="center"/>
          </w:tcPr>
          <w:p>
            <w:pPr>
              <w:pStyle w:val="14"/>
            </w:pPr>
          </w:p>
        </w:tc>
        <w:tc>
          <w:tcPr>
            <w:tcW w:w="2551" w:type="dxa"/>
            <w:vAlign w:val="center"/>
          </w:tcPr>
          <w:p>
            <w:pPr>
              <w:pStyle w:val="14"/>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5.72</w:t>
            </w:r>
          </w:p>
        </w:tc>
        <w:tc>
          <w:tcPr>
            <w:tcW w:w="2551" w:type="dxa"/>
            <w:vAlign w:val="center"/>
          </w:tcPr>
          <w:p>
            <w:pPr>
              <w:pStyle w:val="14"/>
            </w:pPr>
          </w:p>
        </w:tc>
        <w:tc>
          <w:tcPr>
            <w:tcW w:w="2551" w:type="dxa"/>
            <w:vAlign w:val="center"/>
          </w:tcPr>
          <w:p>
            <w:pPr>
              <w:pStyle w:val="14"/>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18.60</w:t>
            </w:r>
          </w:p>
        </w:tc>
        <w:tc>
          <w:tcPr>
            <w:tcW w:w="2551" w:type="dxa"/>
            <w:vAlign w:val="center"/>
          </w:tcPr>
          <w:p>
            <w:pPr>
              <w:pStyle w:val="14"/>
            </w:pPr>
          </w:p>
        </w:tc>
        <w:tc>
          <w:tcPr>
            <w:tcW w:w="2551" w:type="dxa"/>
            <w:vAlign w:val="center"/>
          </w:tcPr>
          <w:p>
            <w:pPr>
              <w:pStyle w:val="14"/>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1.43</w:t>
            </w:r>
          </w:p>
        </w:tc>
        <w:tc>
          <w:tcPr>
            <w:tcW w:w="2551" w:type="dxa"/>
            <w:vAlign w:val="center"/>
          </w:tcPr>
          <w:p>
            <w:pPr>
              <w:pStyle w:val="14"/>
            </w:pPr>
          </w:p>
        </w:tc>
        <w:tc>
          <w:tcPr>
            <w:tcW w:w="2551" w:type="dxa"/>
            <w:vAlign w:val="center"/>
          </w:tcPr>
          <w:p>
            <w:pPr>
              <w:pStyle w:val="14"/>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132.14</w:t>
            </w:r>
          </w:p>
        </w:tc>
        <w:tc>
          <w:tcPr>
            <w:tcW w:w="2551" w:type="dxa"/>
            <w:vAlign w:val="center"/>
          </w:tcPr>
          <w:p>
            <w:pPr>
              <w:pStyle w:val="14"/>
            </w:pPr>
            <w:r>
              <w:t>132.14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130.24</w:t>
            </w:r>
          </w:p>
        </w:tc>
        <w:tc>
          <w:tcPr>
            <w:tcW w:w="2551" w:type="dxa"/>
            <w:vAlign w:val="center"/>
          </w:tcPr>
          <w:p>
            <w:pPr>
              <w:pStyle w:val="14"/>
            </w:pPr>
            <w:r>
              <w:t>130.24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0.30</w:t>
            </w:r>
          </w:p>
        </w:tc>
        <w:tc>
          <w:tcPr>
            <w:tcW w:w="2551" w:type="dxa"/>
            <w:vAlign w:val="center"/>
          </w:tcPr>
          <w:p>
            <w:pPr>
              <w:pStyle w:val="14"/>
            </w:pPr>
            <w:r>
              <w:t>0.30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1.60</w:t>
            </w:r>
          </w:p>
        </w:tc>
        <w:tc>
          <w:tcPr>
            <w:tcW w:w="2551" w:type="dxa"/>
            <w:vAlign w:val="center"/>
          </w:tcPr>
          <w:p>
            <w:pPr>
              <w:pStyle w:val="14"/>
            </w:pPr>
            <w:r>
              <w:t>1.60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8.35</w:t>
            </w:r>
          </w:p>
        </w:tc>
        <w:tc>
          <w:tcPr>
            <w:tcW w:w="2551" w:type="dxa"/>
            <w:vAlign w:val="center"/>
          </w:tcPr>
          <w:p>
            <w:pPr>
              <w:pStyle w:val="14"/>
            </w:pPr>
          </w:p>
        </w:tc>
        <w:tc>
          <w:tcPr>
            <w:tcW w:w="2551" w:type="dxa"/>
            <w:vAlign w:val="center"/>
          </w:tcPr>
          <w:p>
            <w:pPr>
              <w:pStyle w:val="14"/>
            </w:pPr>
            <w:r>
              <w:t>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8.35</w:t>
            </w:r>
          </w:p>
        </w:tc>
        <w:tc>
          <w:tcPr>
            <w:tcW w:w="2551" w:type="dxa"/>
            <w:vAlign w:val="center"/>
          </w:tcPr>
          <w:p>
            <w:pPr>
              <w:pStyle w:val="14"/>
            </w:pPr>
          </w:p>
        </w:tc>
        <w:tc>
          <w:tcPr>
            <w:tcW w:w="2551" w:type="dxa"/>
            <w:vAlign w:val="center"/>
          </w:tcPr>
          <w:p>
            <w:pPr>
              <w:pStyle w:val="14"/>
            </w:pPr>
            <w:r>
              <w:t>8.35</w:t>
            </w:r>
          </w:p>
        </w:tc>
      </w:tr>
    </w:tbl>
    <w:p>
      <w:pPr>
        <w:sectPr>
          <w:pgSz w:w="16840" w:h="11900" w:orient="landscape"/>
          <w:pgMar w:top="1361" w:right="1020" w:bottom="1134" w:left="1020" w:header="720" w:footer="720" w:gutter="0"/>
          <w:cols w:equalWidth="0" w:num="1">
            <w:col w:w="14800"/>
          </w:cols>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198沧州市新华区人民检察院</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28.86</w:t>
            </w:r>
          </w:p>
        </w:tc>
        <w:tc>
          <w:tcPr>
            <w:tcW w:w="2381" w:type="dxa"/>
            <w:vAlign w:val="center"/>
          </w:tcPr>
          <w:p>
            <w:pPr>
              <w:pStyle w:val="18"/>
            </w:pPr>
            <w:r>
              <w:t>28.86</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28.86</w:t>
            </w:r>
          </w:p>
        </w:tc>
        <w:tc>
          <w:tcPr>
            <w:tcW w:w="2381" w:type="dxa"/>
            <w:vAlign w:val="center"/>
          </w:tcPr>
          <w:p>
            <w:pPr>
              <w:pStyle w:val="14"/>
            </w:pPr>
            <w:r>
              <w:t>28.86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26.72</w:t>
            </w:r>
          </w:p>
        </w:tc>
        <w:tc>
          <w:tcPr>
            <w:tcW w:w="2381" w:type="dxa"/>
            <w:vAlign w:val="center"/>
          </w:tcPr>
          <w:p>
            <w:pPr>
              <w:pStyle w:val="14"/>
            </w:pPr>
            <w:r>
              <w:t>26.72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26.72</w:t>
            </w:r>
          </w:p>
        </w:tc>
        <w:tc>
          <w:tcPr>
            <w:tcW w:w="2381" w:type="dxa"/>
            <w:vAlign w:val="center"/>
          </w:tcPr>
          <w:p>
            <w:pPr>
              <w:pStyle w:val="14"/>
            </w:pPr>
            <w:r>
              <w:t>26.72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2.14</w:t>
            </w:r>
          </w:p>
        </w:tc>
        <w:tc>
          <w:tcPr>
            <w:tcW w:w="2381" w:type="dxa"/>
            <w:vAlign w:val="center"/>
          </w:tcPr>
          <w:p>
            <w:pPr>
              <w:pStyle w:val="14"/>
            </w:pPr>
            <w:r>
              <w:t>2.14</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沧州市新华区人民检察院2024年部门预算信息公开情况说明</w:t>
      </w:r>
    </w:p>
    <w:p>
      <w:pPr>
        <w:jc w:val="center"/>
      </w:pPr>
      <w:r>
        <w:rPr>
          <w:rFonts w:ascii="方正小标宋_GBK" w:hAnsi="方正小标宋_GBK" w:eastAsia="方正小标宋_GBK" w:cs="方正小标宋_GBK"/>
          <w:color w:val="000000"/>
          <w:sz w:val="44"/>
        </w:rPr>
        <w:t>沧州市新华区人民检察院2024年部门预算信息公开情况说明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按照《中华人民共和国预算法》、《地方预决算公开操作规程》和《关于进一步推进预算公开工作的实施意见》规定，现将沧州市新华区人民检察院2024年部门预算公开如下：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left="638" w:leftChars="266"/>
        <w:rPr>
          <w:rFonts w:eastAsia="方正仿宋_GBK"/>
          <w:color w:val="000000"/>
          <w:sz w:val="28"/>
        </w:rPr>
      </w:pPr>
      <w:r>
        <w:rPr>
          <w:rFonts w:ascii="方正楷体_GBK" w:hAnsi="方正楷体_GBK" w:eastAsia="方正楷体_GBK" w:cs="方正楷体_GBK"/>
          <w:b/>
          <w:color w:val="000000"/>
          <w:sz w:val="32"/>
        </w:rPr>
        <w:t>部门职责：</w:t>
      </w:r>
      <w:r>
        <w:rPr>
          <w:rFonts w:ascii="方正楷体_GBK" w:hAnsi="方正楷体_GBK" w:eastAsia="方正楷体_GBK" w:cs="方正楷体_GBK"/>
          <w:b/>
          <w:color w:val="000000"/>
          <w:sz w:val="32"/>
        </w:rPr>
        <w:br w:type="textWrapping"/>
      </w:r>
      <w:r>
        <w:rPr>
          <w:rFonts w:eastAsia="方正仿宋_GBK"/>
          <w:color w:val="000000"/>
          <w:sz w:val="28"/>
        </w:rPr>
        <w:t>根据《沧州市新华区人民检察院职能配置、内设机构和人员编制规定》</w:t>
      </w:r>
    </w:p>
    <w:p>
      <w:pPr>
        <w:spacing w:line="500" w:lineRule="exact"/>
        <w:ind w:left="638" w:leftChars="266"/>
      </w:pPr>
      <w:r>
        <w:rPr>
          <w:rFonts w:eastAsia="方正仿宋_GBK"/>
          <w:color w:val="000000"/>
          <w:sz w:val="28"/>
        </w:rPr>
        <w:t>沧州市新华区人民检察院的主要职责是：</w:t>
      </w:r>
    </w:p>
    <w:p>
      <w:pPr>
        <w:pStyle w:val="28"/>
      </w:pPr>
      <w:r>
        <w:rPr>
          <w:rFonts w:hint="eastAsia"/>
          <w:lang w:eastAsia="zh-CN"/>
        </w:rPr>
        <w:t>（一）</w:t>
      </w:r>
      <w:r>
        <w:t>依照法律规定对有关刑事案件行使侦查权</w:t>
      </w:r>
    </w:p>
    <w:p>
      <w:pPr>
        <w:pStyle w:val="28"/>
      </w:pPr>
      <w:r>
        <w:rPr>
          <w:rFonts w:hint="eastAsia"/>
          <w:lang w:eastAsia="zh-CN"/>
        </w:rPr>
        <w:t>（二）</w:t>
      </w:r>
      <w:r>
        <w:t>对刑事案件进行审查，批准或者决定是否逮捕犯罪嫌疑人</w:t>
      </w:r>
    </w:p>
    <w:p>
      <w:pPr>
        <w:pStyle w:val="28"/>
      </w:pPr>
      <w:r>
        <w:rPr>
          <w:rFonts w:hint="eastAsia"/>
          <w:lang w:eastAsia="zh-CN"/>
        </w:rPr>
        <w:t>（三）</w:t>
      </w:r>
      <w:r>
        <w:t>对刑事案件进行审查，决定是否提起公诉，对决定提起公诉的案件支出公诉</w:t>
      </w:r>
    </w:p>
    <w:p>
      <w:pPr>
        <w:pStyle w:val="28"/>
      </w:pPr>
      <w:r>
        <w:rPr>
          <w:rFonts w:hint="eastAsia"/>
          <w:lang w:eastAsia="zh-CN"/>
        </w:rPr>
        <w:t>（四）</w:t>
      </w:r>
      <w:r>
        <w:t>依照法律规定提起公益诉讼</w:t>
      </w:r>
    </w:p>
    <w:p>
      <w:pPr>
        <w:pStyle w:val="28"/>
      </w:pPr>
      <w:r>
        <w:rPr>
          <w:rFonts w:hint="eastAsia"/>
          <w:lang w:eastAsia="zh-CN"/>
        </w:rPr>
        <w:t>（五）</w:t>
      </w:r>
      <w:r>
        <w:t>对诉讼活动实行法律监督</w:t>
      </w:r>
    </w:p>
    <w:p>
      <w:pPr>
        <w:pStyle w:val="28"/>
      </w:pPr>
      <w:r>
        <w:rPr>
          <w:rFonts w:hint="eastAsia"/>
          <w:lang w:eastAsia="zh-CN"/>
        </w:rPr>
        <w:t>（六）</w:t>
      </w:r>
      <w:r>
        <w:t>对判决、裁定等生效法律文书的执行工作实行法律监督</w:t>
      </w:r>
    </w:p>
    <w:p>
      <w:pPr>
        <w:pStyle w:val="28"/>
      </w:pPr>
      <w:r>
        <w:rPr>
          <w:rFonts w:hint="eastAsia"/>
          <w:lang w:eastAsia="zh-CN"/>
        </w:rPr>
        <w:t>（七 ）</w:t>
      </w:r>
      <w:r>
        <w:t>对监狱看守所的支付活动实行法律监督</w:t>
      </w:r>
    </w:p>
    <w:p>
      <w:pPr>
        <w:pStyle w:val="28"/>
        <w:sectPr>
          <w:pgSz w:w="11900" w:h="16840"/>
          <w:pgMar w:top="1361" w:right="1020" w:bottom="1361" w:left="1020" w:header="720" w:footer="720" w:gutter="0"/>
          <w:pgNumType w:start="1"/>
          <w:cols w:space="720" w:num="1"/>
        </w:sectPr>
      </w:pPr>
      <w:r>
        <w:rPr>
          <w:rFonts w:hint="eastAsia"/>
          <w:lang w:eastAsia="zh-CN"/>
        </w:rPr>
        <w:t>（八）</w:t>
      </w:r>
      <w:r>
        <w:t>法律规定的其他职权</w:t>
      </w:r>
    </w:p>
    <w:p>
      <w:pPr>
        <w:ind w:firstLine="640"/>
      </w:pP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沧州市新华区人民检察院本级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10" w:after="10" w:line="360" w:lineRule="auto"/>
        <w:outlineLvl w:val="2"/>
        <w:rPr>
          <w:rFonts w:ascii="仿宋" w:hAnsi="仿宋" w:eastAsia="仿宋" w:cs="黑体"/>
          <w:b/>
          <w:color w:val="000000"/>
          <w:sz w:val="32"/>
          <w:lang w:eastAsia="zh-CN"/>
        </w:rPr>
      </w:pPr>
      <w:r>
        <w:rPr>
          <w:rFonts w:hint="eastAsia" w:ascii="黑体" w:hAnsi="黑体" w:eastAsia="黑体" w:cs="黑体"/>
          <w:color w:val="000000"/>
          <w:sz w:val="32"/>
          <w:lang w:eastAsia="zh-CN"/>
        </w:rPr>
        <w:t xml:space="preserve">  </w:t>
      </w:r>
      <w:r>
        <w:rPr>
          <w:rFonts w:hint="eastAsia" w:cs="黑体" w:asciiTheme="minorEastAsia" w:hAnsiTheme="minorEastAsia" w:eastAsiaTheme="minorEastAsia"/>
          <w:b/>
          <w:color w:val="000000"/>
          <w:sz w:val="32"/>
          <w:lang w:eastAsia="zh-CN"/>
        </w:rPr>
        <w:t xml:space="preserve"> </w:t>
      </w:r>
      <w:r>
        <w:rPr>
          <w:rFonts w:hint="eastAsia" w:ascii="仿宋" w:hAnsi="仿宋" w:eastAsia="仿宋" w:cs="黑体"/>
          <w:b/>
          <w:color w:val="000000"/>
          <w:sz w:val="32"/>
          <w:lang w:eastAsia="zh-CN"/>
        </w:rPr>
        <w:t>按照预算管理有关规定，目前部门预算的编制实行综合预算管理，即全部收入和支出都反映在预算中，新华区人民检察院机关及所属事业单位的收支包含在部门预算中。</w:t>
      </w:r>
    </w:p>
    <w:p>
      <w:pPr>
        <w:pStyle w:val="21"/>
      </w:pPr>
      <w:r>
        <w:t>1、收入说明</w:t>
      </w:r>
    </w:p>
    <w:p>
      <w:pPr>
        <w:pStyle w:val="21"/>
      </w:pPr>
      <w:r>
        <w:t>反映本部门当年全部收入。2024年预算收入1544.12万元，其中：一般公共预算收入1393.99万元，基金预算收入0万元，国有资本经营预算收入0万元，财政专户核拨收入0万元，单位资金收入0万元，上年结转结余150.13万元。</w:t>
      </w:r>
    </w:p>
    <w:p>
      <w:pPr>
        <w:pStyle w:val="21"/>
      </w:pPr>
      <w:r>
        <w:t>2、支出说明</w:t>
      </w:r>
    </w:p>
    <w:p>
      <w:pPr>
        <w:pStyle w:val="21"/>
      </w:pPr>
      <w:r>
        <w:t>收支预算总表支出栏、基本支出表、项目支出表按经济分类和支出功能分类科目编制，反映 收支预算总表支出栏、基本支出表、项目支出表按经济分类和支出功能分类科目编制，反映2024年度部门预算中支出预算的总体情况。2024年支出预算1544.12万元，其中基本支出1163.99万元，包括人员经费946.49万元和日常公用经费217.50万元；项目支出380.1</w:t>
      </w:r>
      <w:r>
        <w:rPr>
          <w:rFonts w:hint="eastAsia"/>
          <w:lang w:eastAsia="zh-CN"/>
        </w:rPr>
        <w:t>3</w:t>
      </w:r>
      <w:r>
        <w:t>万元，主要为档案升级改造等</w:t>
      </w:r>
      <w:r>
        <w:rPr>
          <w:rFonts w:hint="eastAsia"/>
          <w:lang w:eastAsia="zh-CN"/>
        </w:rPr>
        <w:t>项目</w:t>
      </w:r>
      <w:r>
        <w:t>。</w:t>
      </w:r>
    </w:p>
    <w:p>
      <w:pPr>
        <w:pStyle w:val="21"/>
      </w:pPr>
      <w:r>
        <w:t>3、比上年增减情况</w:t>
      </w:r>
    </w:p>
    <w:p>
      <w:pPr>
        <w:pStyle w:val="21"/>
        <w:rPr>
          <w:lang w:eastAsia="zh-CN"/>
        </w:rPr>
      </w:pPr>
      <w:r>
        <w:t>2024年预算收支安排1544.12万元，较2023年预算增加257.48   万元，其中：基本支出增加120.35 万元，主要为新招录6名公务员的人员经费的增加；项目支出增加137.13万元，主</w:t>
      </w:r>
      <w:r>
        <w:rPr>
          <w:rFonts w:hint="eastAsia"/>
          <w:lang w:eastAsia="zh-CN"/>
        </w:rPr>
        <w:t>要为档案升级项目等项目。</w:t>
      </w: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w:t>
      </w:r>
      <w:bookmarkEnd w:id="11"/>
    </w:p>
    <w:p>
      <w:pPr>
        <w:pStyle w:val="22"/>
        <w:ind w:firstLineChars="200"/>
      </w:pPr>
      <w:bookmarkStart w:id="12" w:name="_Toc_3_3_0000000013"/>
      <w:r>
        <w:t>2024年，我部门运行经费共计安排 217.50   万元，主要用于日常维修、办公用房水电费、办公用房取暖费、办公用房物业管理费等日常运行支出。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3"/>
        <w:rPr>
          <w:lang w:eastAsia="zh-CN"/>
        </w:rPr>
      </w:pPr>
      <w:r>
        <w:t>2024年，我部门财政拨款“三公”经费预算安排</w:t>
      </w:r>
      <w:r>
        <w:rPr>
          <w:rFonts w:hint="eastAsia"/>
          <w:lang w:eastAsia="zh-CN"/>
        </w:rPr>
        <w:t>28.86</w:t>
      </w:r>
      <w:r>
        <w:t xml:space="preserve">万元，其中因公出国（境）费0万元；公务用车购置及运维费26.72万元（其中：公务用车购置费为0万元，公务用车运维费26.72万元)；公务接待费2.14万元。与2023年相比减少 </w:t>
      </w:r>
      <w:r>
        <w:rPr>
          <w:rFonts w:hint="eastAsia"/>
          <w:lang w:val="en-US" w:eastAsia="zh-CN"/>
        </w:rPr>
        <w:t>8.72</w:t>
      </w:r>
      <w:r>
        <w:t xml:space="preserve"> 万元，</w:t>
      </w:r>
      <w:r>
        <w:rPr>
          <w:rFonts w:hint="eastAsia"/>
          <w:lang w:eastAsia="zh-CN"/>
        </w:rPr>
        <w:t>主要原因为：公务用车运行维护费减少。</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bookmarkStart w:id="20" w:name="_GoBack"/>
      <w:bookmarkEnd w:id="20"/>
    </w:p>
    <w:p>
      <w:pPr>
        <w:spacing w:line="500" w:lineRule="exact"/>
        <w:ind w:firstLine="560"/>
      </w:pPr>
      <w:r>
        <w:rPr>
          <w:rFonts w:eastAsia="方正仿宋_GBK" w:cs="Times New Roman"/>
          <w:color w:val="000000"/>
          <w:sz w:val="28"/>
        </w:rPr>
        <w:t>（一）总体绩效目标</w:t>
      </w:r>
    </w:p>
    <w:p>
      <w:pPr>
        <w:pStyle w:val="24"/>
      </w:pPr>
      <w:r>
        <w:t>总体</w:t>
      </w:r>
    </w:p>
    <w:p>
      <w:pPr>
        <w:pStyle w:val="24"/>
      </w:pPr>
      <w:r>
        <w:t>2024年部门年度绩效目标</w:t>
      </w:r>
    </w:p>
    <w:p>
      <w:pPr>
        <w:pStyle w:val="24"/>
      </w:pPr>
      <w:r>
        <w:t>1、侦查监督：主要职责是侦查监督职能的行使贯穿刑事立案到侦查终结全过程。主要包括审查逮捕、立案监督和侦查活动监督等职能。</w:t>
      </w:r>
    </w:p>
    <w:p>
      <w:pPr>
        <w:pStyle w:val="24"/>
      </w:pPr>
      <w:r>
        <w:t>绩效目标是保障人权、维护司法公正，有效提高批捕、批准立案、批延准确率。</w:t>
      </w:r>
    </w:p>
    <w:p>
      <w:pPr>
        <w:pStyle w:val="24"/>
      </w:pPr>
      <w:r>
        <w:t>2、公诉和审判监督：主要职责是审查起诉；对上诉、抗诉案件及再审案件进行审查；出庭支持公诉。</w:t>
      </w:r>
    </w:p>
    <w:p>
      <w:pPr>
        <w:pStyle w:val="24"/>
      </w:pPr>
      <w:r>
        <w:t>绩效目标是全面审查案件事实，核实证据，依法提起公诉、出庭提出审查意见、提高公诉案件审结率、出庭意见采纳率。</w:t>
      </w:r>
    </w:p>
    <w:p>
      <w:pPr>
        <w:pStyle w:val="24"/>
      </w:pPr>
      <w:r>
        <w:t>3、民事行政诉讼监督：负责对申请监督和提请抗诉的民事、行政案件的审查、抗诉，对区人民法院民事、行政诉讼活动进行监督，对审判监督程序以外的其他民事、行政审判程序中审判人员的违法行为提出检察建议，对民事、行政执行活动实行法律监督。开展民事、行政支持起诉工作，办理民事、行政申诉案件。维护司法公正和司法权威，保障国家法律的统一正确实施；充分发挥检察机关法律监督职能作用，促进依法行政、严格执法。</w:t>
      </w:r>
    </w:p>
    <w:p>
      <w:pPr>
        <w:pStyle w:val="24"/>
      </w:pPr>
      <w:r>
        <w:t>绩效目标是有效实施民事案件审判监督，维护司法公正和司法权威，保障国家法律的统一正确实施。</w:t>
      </w:r>
    </w:p>
    <w:p>
      <w:pPr>
        <w:pStyle w:val="24"/>
      </w:pPr>
      <w:r>
        <w:t>4、公益诉讼监督：负责办理生态环境和资源保护、食品药品安全、国有财产保护、国有土地使用权出让等领域的行政公益诉讼案件，侵害英雄烈士姓名、肖像、名誉、荣誉的公益诉讼案件。保障国家法律的统一正确实施；充分发挥检察机关法律监督职能作用，督促和支持适格主体积极行使公益诉讼，促进依法行政、严格执法。</w:t>
      </w:r>
    </w:p>
    <w:p>
      <w:pPr>
        <w:pStyle w:val="24"/>
      </w:pPr>
      <w:r>
        <w:t>绩效目标是有效实施公益诉讼案件监督，维护司法公正和司法权威，保障国家法律的统一正确实施。</w:t>
      </w:r>
    </w:p>
    <w:p>
      <w:pPr>
        <w:pStyle w:val="24"/>
      </w:pPr>
      <w:r>
        <w:t>5、刑事执行监督：主要职责是依法对刑罚执行和监管活动实行监督，维护刑罚执行和监管活动的公平正义，维护监管秩序稳定，维护被监管人合法权益，保障国家法律统一正确实施。</w:t>
      </w:r>
    </w:p>
    <w:p>
      <w:pPr>
        <w:pStyle w:val="24"/>
      </w:pPr>
      <w:r>
        <w:t>绩效目标是保障刑罚执行和监管活动的依法有序进行。</w:t>
      </w:r>
    </w:p>
    <w:p>
      <w:pPr>
        <w:pStyle w:val="24"/>
      </w:pPr>
      <w:r>
        <w:t>6、未成年人刑事检察：办理并指导全区检察机关未成年人犯罪案件的审查逮捕、审查起诉工作，依法履行立案监督、侦查监督、审判监督、执行监督职能；开展未成年人犯罪综合治理工作；依法保护刑事案件未成年被害人的合法权益。</w:t>
      </w:r>
    </w:p>
    <w:p>
      <w:pPr>
        <w:pStyle w:val="24"/>
      </w:pPr>
      <w:r>
        <w:t>绩效目标是完成移交未成年人案件侦查监督任务，有效实施未成年人案件审判监督，依法保护刑事案件未成年被害人的合法权益。</w:t>
      </w:r>
    </w:p>
    <w:p>
      <w:pPr>
        <w:pStyle w:val="24"/>
      </w:pPr>
      <w:r>
        <w:t>7、警察的授衔和管理工作：开展、规划和指导全区检察机关技术工作和物证检验、鉴定、审核等工作。</w:t>
      </w:r>
    </w:p>
    <w:p>
      <w:pPr>
        <w:pStyle w:val="24"/>
      </w:pPr>
      <w:r>
        <w:t>绩效目标是加强各项检察辅助职能，为检察业务提供有力保障。</w:t>
      </w:r>
    </w:p>
    <w:p>
      <w:pPr>
        <w:pStyle w:val="24"/>
      </w:pPr>
      <w:r>
        <w:t>8、渉检信访办理：主要职责是统一受理报案、控告、举报、申诉和犯罪嫌疑人投案自首，办理对公检法三机关及工作人员阻碍辩护人、诉讼代理人依法行使诉讼权利的控告和申诉，办理对本院办案中违法行为的控告或申诉，受理民事监督案件。</w:t>
      </w:r>
    </w:p>
    <w:p>
      <w:pPr>
        <w:pStyle w:val="24"/>
      </w:pPr>
      <w:r>
        <w:t>绩效目标是构建依法有序信访秩序，及时依法解决群众诉求。</w:t>
      </w:r>
    </w:p>
    <w:p>
      <w:pPr>
        <w:pStyle w:val="24"/>
      </w:pPr>
      <w:r>
        <w:t>9、刑事申诉及渉检国家赔偿和司法救助：受理、审查和复查当事人不服的刑事申诉案件；统一办理人民检察院作为赔偿义务机关的刑事赔偿、复议案件，对人民法院赔偿委员会判决、裁定进行监督，开展司法救助工作。</w:t>
      </w:r>
    </w:p>
    <w:p>
      <w:pPr>
        <w:pStyle w:val="24"/>
      </w:pPr>
      <w:r>
        <w:t>绩效目标是加强和改进举报工作，保护申诉人合法权益，保护被赔偿人和被救助人合法权益。</w:t>
      </w:r>
    </w:p>
    <w:p>
      <w:pPr>
        <w:pStyle w:val="24"/>
      </w:pPr>
      <w:r>
        <w:t>10、综合业务管理：主要职责是确定全区检察阶段性的工作重点和措施，部署检察工作；进行案件质量保证体系建设；开展涉农检察工作；参与社会管理综合治理等工作；进行法律政策研究工作；加强人民监督员和人大代表监督；统筹进行网络信息化建设；开展检察宣传工作、推进检务公开。</w:t>
      </w:r>
    </w:p>
    <w:p>
      <w:pPr>
        <w:pStyle w:val="24"/>
      </w:pPr>
      <w:r>
        <w:t>绩效目标是提高执法水平和办案质量、提升检察机关法律监督能力。</w:t>
      </w:r>
    </w:p>
    <w:p>
      <w:pPr>
        <w:pStyle w:val="24"/>
      </w:pPr>
      <w:r>
        <w:t>11、综合事务管理：主要职责是组织指导全区检察人员的教育培训工作和涉外交流工作，规划和指导全区检察系统培训基地及师资队伍建设等工作；进行检察装备建设及维护；配备制式检察服装及法警服装；进行基础设施建设和维护。</w:t>
      </w:r>
    </w:p>
    <w:p>
      <w:pPr>
        <w:pStyle w:val="24"/>
      </w:pPr>
    </w:p>
    <w:p>
      <w:pPr>
        <w:spacing w:line="500" w:lineRule="exact"/>
        <w:ind w:firstLine="560"/>
      </w:pPr>
      <w:r>
        <w:rPr>
          <w:rFonts w:eastAsia="方正仿宋_GBK" w:cs="Times New Roman"/>
          <w:color w:val="000000"/>
          <w:sz w:val="28"/>
        </w:rPr>
        <w:t>（二）分项绩效目标</w:t>
      </w:r>
    </w:p>
    <w:p>
      <w:pPr>
        <w:pStyle w:val="25"/>
      </w:pPr>
      <w:r>
        <w:t>2024年部门分项绩效目标:</w:t>
      </w:r>
    </w:p>
    <w:p>
      <w:pPr>
        <w:pStyle w:val="25"/>
      </w:pPr>
      <w:r>
        <w:t>一、侦查监督</w:t>
      </w:r>
    </w:p>
    <w:p>
      <w:pPr>
        <w:pStyle w:val="25"/>
      </w:pPr>
      <w:r>
        <w:t>侦查监督职能的行使贯穿刑事立案到侦查终结全过程。主要包括审查逮捕、立案监督和侦查活动监督等职能。</w:t>
      </w:r>
    </w:p>
    <w:p>
      <w:pPr>
        <w:pStyle w:val="25"/>
      </w:pPr>
      <w:r>
        <w:t>绩效目标为:打击犯罪、保障人权、维护司法公正。批延准确率，错捕、捕后撤案、不起诉、判无罪率和立案和侦查活动监督完成率均达到上级要求。</w:t>
      </w:r>
    </w:p>
    <w:p>
      <w:pPr>
        <w:pStyle w:val="25"/>
      </w:pPr>
      <w:r>
        <w:t>二、公诉和审判监督</w:t>
      </w:r>
    </w:p>
    <w:p>
      <w:pPr>
        <w:pStyle w:val="25"/>
      </w:pPr>
      <w:r>
        <w:t>审查起诉出庭支持公诉。绩效指标为:全面审查案件事实，核实证据，依法提出审查意见，打击犯罪，保障人权，维护司法公正。主要包括，出庭意见采纳数;诉讼期限内审结案件占全部案件比例，办理案件数。</w:t>
      </w:r>
    </w:p>
    <w:p>
      <w:pPr>
        <w:pStyle w:val="25"/>
      </w:pPr>
      <w:r>
        <w:t>三、民事行政诉讼监督</w:t>
      </w:r>
    </w:p>
    <w:p>
      <w:pPr>
        <w:pStyle w:val="25"/>
      </w:pPr>
      <w:r>
        <w:t>依法对民事诉讼和行政诉讼实行法律监督，维护司法公正和司法权威，保障国家法律的统一正确实施。绩效指标为:加大办案力度，提高办案质量。主要包括:检察建议采纳率;不支持监督申请决定息讼息访率;案件审结率</w:t>
      </w:r>
    </w:p>
    <w:p>
      <w:pPr>
        <w:pStyle w:val="25"/>
      </w:pPr>
      <w:r>
        <w:t>四、刑事执行检察</w:t>
      </w:r>
    </w:p>
    <w:p>
      <w:pPr>
        <w:pStyle w:val="25"/>
      </w:pPr>
      <w:r>
        <w:t>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p>
      <w:pPr>
        <w:pStyle w:val="25"/>
      </w:pPr>
      <w:r>
        <w:t>绩效指标为:保障刑罚执行和刑事执行活动的依法有序进行。主要包括:纠正意见或建议的采纳率;对监狱看守所、劳动教养机关劳功教养机关的活动是否合法以及有无超期羁押监督工作指导;执行刑罚的活动，减刑，假释，保外就医等变更的执行。</w:t>
      </w:r>
    </w:p>
    <w:p>
      <w:pPr>
        <w:pStyle w:val="25"/>
      </w:pPr>
      <w:r>
        <w:t>五、未成年人刑事检察</w:t>
      </w:r>
    </w:p>
    <w:p>
      <w:pPr>
        <w:pStyle w:val="25"/>
      </w:pPr>
      <w:r>
        <w:t>办理全区检察机关未成年人犯罪案件的审查逮捕、审查起诉工作，依法履行立案监督、侦查活动监督、审判监督、执行监督职能;开展预防未成年人犯罪综合治理工作;依法保护刑事案件未成年被害人的合法权益。</w:t>
      </w:r>
    </w:p>
    <w:p>
      <w:pPr>
        <w:pStyle w:val="25"/>
      </w:pPr>
      <w:r>
        <w:t>绩效指标为;使我区未检在全巿检察机关位于先进行列,主要包括:特殊检察制度适用率;附条件不起诉率;不捕、不诉率，未成年人刑事案件办理率，案件办结率。</w:t>
      </w:r>
    </w:p>
    <w:p>
      <w:pPr>
        <w:pStyle w:val="25"/>
      </w:pPr>
      <w:r>
        <w:t>六、查办司法人员职务犯</w:t>
      </w:r>
    </w:p>
    <w:p>
      <w:pPr>
        <w:pStyle w:val="25"/>
      </w:pPr>
      <w:r>
        <w:t>对在诉讼活动中办理的司法人员利用职权实施的侵犯公民权利、损害司法公正犯罪进行侦查</w:t>
      </w:r>
    </w:p>
    <w:p>
      <w:pPr>
        <w:pStyle w:val="25"/>
      </w:pPr>
    </w:p>
    <w:p>
      <w:pPr>
        <w:pStyle w:val="25"/>
      </w:pPr>
      <w:r>
        <w:t>绩效指标为:力争查办案件工作进入全市先进，主要包括:案件办结率，立案数量，查办案件数量侦结率。</w:t>
      </w:r>
    </w:p>
    <w:p>
      <w:pPr>
        <w:pStyle w:val="25"/>
      </w:pPr>
      <w:r>
        <w:t>七、公益诉讼</w:t>
      </w:r>
    </w:p>
    <w:p>
      <w:pPr>
        <w:pStyle w:val="25"/>
      </w:pPr>
      <w:r>
        <w:t>对破坏生态环境和资源保护、食品药品安全、侵害消费者合法权益和公共利益的行为展开公益诉讼</w:t>
      </w:r>
    </w:p>
    <w:p>
      <w:pPr>
        <w:pStyle w:val="25"/>
      </w:pPr>
      <w:r>
        <w:t>确定全区检察阶段性的工作重点和措施，部署检察工作任务;进行案件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积极开展工作加大办案力度，主要包括，检察建议，立案数量，支持公诉。</w:t>
      </w:r>
    </w:p>
    <w:p>
      <w:pPr>
        <w:pStyle w:val="25"/>
      </w:pPr>
      <w:r>
        <w:t>八、法警工作</w:t>
      </w:r>
    </w:p>
    <w:p>
      <w:pPr>
        <w:pStyle w:val="25"/>
      </w:pPr>
      <w:r>
        <w:t>通过执行传唤、拘传参与搜查等活动，检察工作秩序，保障检察工作顺利进行。</w:t>
      </w:r>
    </w:p>
    <w:p>
      <w:pPr>
        <w:pStyle w:val="25"/>
      </w:pPr>
      <w:r>
        <w:t>绩效指标为:防止、预防妨碍检察活动的违法犯罪，主要包括:出警及时率，法警装备购置率，出警次数</w:t>
      </w:r>
    </w:p>
    <w:p>
      <w:pPr>
        <w:pStyle w:val="25"/>
      </w:pPr>
      <w:r>
        <w:t>九、涉检信访办理</w:t>
      </w:r>
    </w:p>
    <w:p>
      <w:pPr>
        <w:pStyle w:val="25"/>
      </w:pPr>
      <w:r>
        <w:t>统一受理报案、控告、举报、申诉和犯罪嫌疑人投案自首，办理对公检法三机关及工作人员阻碍辩护人、诉讼代理人依法行使诉讼权利的控告或申诉，办理对本院办案中违法行为的控告或申诉，受理民事监督案件。</w:t>
      </w:r>
    </w:p>
    <w:p>
      <w:pPr>
        <w:pStyle w:val="25"/>
      </w:pPr>
      <w:r>
        <w:t>绩效指标为:构建依法有序信访秩序，及时依法解决群众诉求。主要包括:错案率，法定期限内办结率，</w:t>
      </w:r>
    </w:p>
    <w:p>
      <w:pPr>
        <w:pStyle w:val="25"/>
      </w:pPr>
      <w:r>
        <w:t>十、举报管理、涉检国家赔偿和司法救助</w:t>
      </w:r>
    </w:p>
    <w:p>
      <w:pPr>
        <w:pStyle w:val="25"/>
      </w:pPr>
      <w:r>
        <w:t>受理初核对国家工作人员职务犯罪的举报;统一办理人民检察院作为赔偿义务机关的刑事赔偿案件，对人民法院赔偿委员会判决、裁定进行监督，开展司法救助工作。</w:t>
      </w:r>
    </w:p>
    <w:p>
      <w:pPr>
        <w:pStyle w:val="25"/>
      </w:pPr>
      <w:r>
        <w:t>绩戏提标为:加强和改进举报工作，保护被赔偿人和被救助人合法权益主要包括:法定期限内办结率，举报修送立案率，涉检国家赔偿错案率，举报线索处置率，司法救助率，涉检国家赔偿率。</w:t>
      </w:r>
    </w:p>
    <w:p>
      <w:pPr>
        <w:pStyle w:val="25"/>
      </w:pPr>
      <w:r>
        <w:t>确定全区检察阶及性的工作重点和措施，部署检察工作任务;进行案件十一、综合业务管理</w:t>
      </w:r>
    </w:p>
    <w:p>
      <w:pPr>
        <w:pStyle w:val="25"/>
      </w:pPr>
      <w:r>
        <w:t>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确定全区检察阶段性的工作重点和措施，部署检察工作任务:进行类件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w:t>
      </w:r>
    </w:p>
    <w:p>
      <w:pPr>
        <w:pStyle w:val="25"/>
      </w:pPr>
      <w:r>
        <w:t>绩效指标:提高执法水平和办案质量、提升检察机关法律监督能力。为检察工作顺利开展提供保障。主要包括:推，推进行政执法与司法无缝对接工作，各项综合业务管理工作完成率，社会综合治理工作，检察工作人员的专项业务培训工作，各项综合事务工作完成率，检察服及法警警服的采购和配备工作。</w:t>
      </w:r>
    </w:p>
    <w:p>
      <w:pPr>
        <w:pStyle w:val="25"/>
      </w:pPr>
    </w:p>
    <w:p>
      <w:pPr>
        <w:spacing w:line="500" w:lineRule="exact"/>
        <w:ind w:firstLine="560"/>
      </w:pPr>
      <w:r>
        <w:rPr>
          <w:rFonts w:eastAsia="方正仿宋_GBK" w:cs="Times New Roman"/>
          <w:color w:val="000000"/>
          <w:sz w:val="28"/>
        </w:rPr>
        <w:t>（三）工作保障措施</w:t>
      </w:r>
    </w:p>
    <w:p>
      <w:pPr>
        <w:pStyle w:val="26"/>
      </w:pPr>
      <w:r>
        <w:t>工作保障措施</w:t>
      </w:r>
    </w:p>
    <w:p>
      <w:pPr>
        <w:pStyle w:val="26"/>
      </w:pPr>
      <w:r>
        <w:t>2024年实现本年度规划目标的保障措施为保障检察工作顺利进行，认真落实高检院、省、市院工作部署，根据区委要求，以社会主义法治理念为指导，以服务大局为重点，以队伍建设为保障，忠实履行法律监督职能服务全区经济社会又好又快发展。</w:t>
      </w:r>
    </w:p>
    <w:p>
      <w:pPr>
        <w:pStyle w:val="26"/>
      </w:pPr>
      <w:r>
        <w:t>1、行使侦查监督职能贯穿刑事立案到侦查终结全过程。打击犯罪、保障人权、维护司法公正，全面审查案件事实，核实证据，依法提出审查意见，打击犯罪，保障人权，维护司法公正。加大办案力度，提高办案质量，保障刑罚执行和刑事执行活动的依法有序进行。</w:t>
      </w:r>
    </w:p>
    <w:p>
      <w:pPr>
        <w:pStyle w:val="26"/>
      </w:pPr>
      <w:r>
        <w:t>2、积极开展工作加大办案力度，防止、预防妨碍检察活动的违法犯罪，构建依法有序信访秩序，及时依法解决群众诉求。加强和改进举报工作，保护被赔偿人和被</w:t>
      </w:r>
    </w:p>
    <w:p>
      <w:pPr>
        <w:pStyle w:val="26"/>
      </w:pPr>
      <w:r>
        <w:t>3、对公诉和审判业务、民事行政诉讼、公益诉讼、刑事执行、未成年人刑事检察、渉检信访办理、刑事申诉及渉检国家赔偿和司法救助、警察的授衔和管理工作、综合业务、综合事务等检察业务提供工作保障。</w:t>
      </w:r>
    </w:p>
    <w:p>
      <w:pPr>
        <w:pStyle w:val="26"/>
      </w:pPr>
    </w:p>
    <w:p>
      <w:pPr>
        <w:pStyle w:val="26"/>
        <w:sectPr>
          <w:pgSz w:w="16840" w:h="11900" w:orient="landscape"/>
          <w:pgMar w:top="1361" w:right="1020" w:bottom="1361" w:left="1020" w:header="720" w:footer="720" w:gutter="0"/>
          <w:cols w:equalWidth="0" w:num="1">
            <w:col w:w="14800"/>
          </w:cols>
        </w:sectPr>
      </w:pPr>
    </w:p>
    <w:p>
      <w:pPr>
        <w:numPr>
          <w:ilvl w:val="0"/>
          <w:numId w:val="3"/>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10" w:after="10" w:line="360" w:lineRule="auto"/>
        <w:ind w:firstLine="1600" w:firstLineChars="500"/>
        <w:outlineLvl w:val="2"/>
        <w:rPr>
          <w:rFonts w:ascii="黑体" w:hAnsi="黑体" w:eastAsia="黑体" w:cs="黑体"/>
          <w:color w:val="000000"/>
          <w:sz w:val="32"/>
          <w:lang w:eastAsia="zh-CN"/>
        </w:rPr>
        <w:sectPr>
          <w:pgSz w:w="16840" w:h="11900" w:orient="landscape"/>
          <w:pgMar w:top="1361" w:right="1020" w:bottom="1134" w:left="1020" w:header="720" w:footer="720" w:gutter="0"/>
          <w:cols w:equalWidth="0" w:num="1">
            <w:col w:w="14800"/>
          </w:cols>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equalWidth="0" w:num="1">
            <w:col w:w="14800"/>
          </w:cols>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1、档案室升级改造绩效目标表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13090024P00010510001G</w:t>
            </w:r>
          </w:p>
        </w:tc>
        <w:tc>
          <w:tcPr>
            <w:tcW w:w="2835" w:type="dxa"/>
            <w:vAlign w:val="center"/>
          </w:tcPr>
          <w:p>
            <w:pPr>
              <w:pStyle w:val="13"/>
            </w:pPr>
            <w:r>
              <w:t>项目名称</w:t>
            </w:r>
          </w:p>
        </w:tc>
        <w:tc>
          <w:tcPr>
            <w:tcW w:w="6094" w:type="dxa"/>
            <w:gridSpan w:val="3"/>
            <w:vAlign w:val="center"/>
          </w:tcPr>
          <w:p>
            <w:pPr>
              <w:pStyle w:val="15"/>
            </w:pPr>
            <w:r>
              <w:t>档案室升级改造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35.00</w:t>
            </w:r>
          </w:p>
        </w:tc>
        <w:tc>
          <w:tcPr>
            <w:tcW w:w="2835" w:type="dxa"/>
            <w:vAlign w:val="center"/>
          </w:tcPr>
          <w:p>
            <w:pPr>
              <w:pStyle w:val="13"/>
            </w:pPr>
            <w:r>
              <w:t>其中：财政    资金</w:t>
            </w:r>
          </w:p>
        </w:tc>
        <w:tc>
          <w:tcPr>
            <w:tcW w:w="2551" w:type="dxa"/>
            <w:vAlign w:val="center"/>
          </w:tcPr>
          <w:p>
            <w:pPr>
              <w:pStyle w:val="15"/>
            </w:pPr>
            <w:r>
              <w:t>35.00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档案室升级改造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rPr>
                <w:lang w:eastAsia="zh-CN"/>
              </w:rPr>
            </w:pPr>
            <w:r>
              <w:rPr>
                <w:rFonts w:hint="eastAsia"/>
                <w:lang w:eastAsia="zh-CN"/>
              </w:rPr>
              <w:t>20%</w:t>
            </w:r>
          </w:p>
        </w:tc>
        <w:tc>
          <w:tcPr>
            <w:tcW w:w="2835" w:type="dxa"/>
            <w:vAlign w:val="center"/>
          </w:tcPr>
          <w:p>
            <w:pPr>
              <w:pStyle w:val="16"/>
              <w:rPr>
                <w:lang w:eastAsia="zh-CN"/>
              </w:rPr>
            </w:pPr>
            <w:r>
              <w:rPr>
                <w:rFonts w:hint="eastAsia"/>
                <w:lang w:eastAsia="zh-CN"/>
              </w:rPr>
              <w:t>50%</w:t>
            </w:r>
          </w:p>
        </w:tc>
        <w:tc>
          <w:tcPr>
            <w:tcW w:w="2551" w:type="dxa"/>
            <w:vAlign w:val="center"/>
          </w:tcPr>
          <w:p>
            <w:pPr>
              <w:pStyle w:val="16"/>
              <w:rPr>
                <w:lang w:eastAsia="zh-CN"/>
              </w:rPr>
            </w:pPr>
            <w:r>
              <w:rPr>
                <w:rFonts w:hint="eastAsia"/>
                <w:lang w:eastAsia="zh-CN"/>
              </w:rPr>
              <w:t>60%</w:t>
            </w:r>
          </w:p>
        </w:tc>
        <w:tc>
          <w:tcPr>
            <w:tcW w:w="3543" w:type="dxa"/>
            <w:gridSpan w:val="2"/>
            <w:vAlign w:val="center"/>
          </w:tcPr>
          <w:p>
            <w:pPr>
              <w:pStyle w:val="16"/>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1.档案室升级改造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服务器采购数量</w:t>
            </w:r>
          </w:p>
        </w:tc>
        <w:tc>
          <w:tcPr>
            <w:tcW w:w="5386" w:type="dxa"/>
            <w:vAlign w:val="center"/>
          </w:tcPr>
          <w:p>
            <w:pPr>
              <w:pStyle w:val="15"/>
            </w:pPr>
            <w:r>
              <w:t>服务器采购数量</w:t>
            </w:r>
          </w:p>
        </w:tc>
        <w:tc>
          <w:tcPr>
            <w:tcW w:w="2268" w:type="dxa"/>
            <w:vAlign w:val="center"/>
          </w:tcPr>
          <w:p>
            <w:pPr>
              <w:pStyle w:val="15"/>
              <w:rPr>
                <w:lang w:eastAsia="zh-CN"/>
              </w:rPr>
            </w:pPr>
            <w:r>
              <w:t>≥1台</w:t>
            </w:r>
            <w:r>
              <w:rPr>
                <w:rFonts w:hint="eastAsia"/>
                <w:lang w:eastAsia="zh-CN"/>
              </w:rPr>
              <w:t xml:space="preserve">xinh </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系统验收合格率</w:t>
            </w:r>
          </w:p>
        </w:tc>
        <w:tc>
          <w:tcPr>
            <w:tcW w:w="5386" w:type="dxa"/>
            <w:vAlign w:val="center"/>
          </w:tcPr>
          <w:p>
            <w:pPr>
              <w:pStyle w:val="15"/>
            </w:pPr>
            <w:r>
              <w:t>系统验收合格率</w:t>
            </w:r>
          </w:p>
        </w:tc>
        <w:tc>
          <w:tcPr>
            <w:tcW w:w="2268" w:type="dxa"/>
            <w:vAlign w:val="center"/>
          </w:tcPr>
          <w:p>
            <w:pPr>
              <w:pStyle w:val="15"/>
            </w:pPr>
            <w:r>
              <w:t>100百分比</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档案室升级改造完成时间</w:t>
            </w:r>
          </w:p>
        </w:tc>
        <w:tc>
          <w:tcPr>
            <w:tcW w:w="5386" w:type="dxa"/>
            <w:vAlign w:val="center"/>
          </w:tcPr>
          <w:p>
            <w:pPr>
              <w:pStyle w:val="15"/>
            </w:pPr>
            <w:r>
              <w:t>档案室升级改造完成时间</w:t>
            </w:r>
          </w:p>
        </w:tc>
        <w:tc>
          <w:tcPr>
            <w:tcW w:w="2268" w:type="dxa"/>
            <w:vAlign w:val="center"/>
          </w:tcPr>
          <w:p>
            <w:pPr>
              <w:pStyle w:val="15"/>
            </w:pPr>
            <w:r>
              <w:t>2024年完成</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项目预计成本</w:t>
            </w:r>
          </w:p>
        </w:tc>
        <w:tc>
          <w:tcPr>
            <w:tcW w:w="5386" w:type="dxa"/>
            <w:vAlign w:val="center"/>
          </w:tcPr>
          <w:p>
            <w:pPr>
              <w:pStyle w:val="15"/>
            </w:pPr>
            <w:r>
              <w:t>项目预计成本</w:t>
            </w:r>
          </w:p>
        </w:tc>
        <w:tc>
          <w:tcPr>
            <w:tcW w:w="2268" w:type="dxa"/>
            <w:vAlign w:val="center"/>
          </w:tcPr>
          <w:p>
            <w:pPr>
              <w:pStyle w:val="15"/>
            </w:pPr>
            <w:r>
              <w:t>≤35万元</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档案室网络的安全防护能力</w:t>
            </w:r>
          </w:p>
        </w:tc>
        <w:tc>
          <w:tcPr>
            <w:tcW w:w="5386" w:type="dxa"/>
            <w:vAlign w:val="center"/>
          </w:tcPr>
          <w:p>
            <w:pPr>
              <w:pStyle w:val="15"/>
            </w:pPr>
            <w:r>
              <w:t>档案室网络的安全防护能力</w:t>
            </w:r>
          </w:p>
        </w:tc>
        <w:tc>
          <w:tcPr>
            <w:tcW w:w="2268" w:type="dxa"/>
            <w:vAlign w:val="center"/>
          </w:tcPr>
          <w:p>
            <w:pPr>
              <w:pStyle w:val="15"/>
            </w:pPr>
            <w:r>
              <w:t>≥95百分比</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档案室的利用情况</w:t>
            </w:r>
          </w:p>
        </w:tc>
        <w:tc>
          <w:tcPr>
            <w:tcW w:w="5386" w:type="dxa"/>
            <w:vAlign w:val="center"/>
          </w:tcPr>
          <w:p>
            <w:pPr>
              <w:pStyle w:val="15"/>
            </w:pPr>
            <w:r>
              <w:t>档案室的利用情况</w:t>
            </w:r>
          </w:p>
        </w:tc>
        <w:tc>
          <w:tcPr>
            <w:tcW w:w="2268" w:type="dxa"/>
            <w:vAlign w:val="center"/>
          </w:tcPr>
          <w:p>
            <w:pPr>
              <w:pStyle w:val="15"/>
            </w:pPr>
            <w:r>
              <w:t>≥1500人次</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档案室信息化系统的稳定性</w:t>
            </w:r>
          </w:p>
        </w:tc>
        <w:tc>
          <w:tcPr>
            <w:tcW w:w="5386" w:type="dxa"/>
            <w:vAlign w:val="center"/>
          </w:tcPr>
          <w:p>
            <w:pPr>
              <w:pStyle w:val="15"/>
            </w:pPr>
            <w:r>
              <w:t>信息化的稳定性</w:t>
            </w:r>
          </w:p>
        </w:tc>
        <w:tc>
          <w:tcPr>
            <w:tcW w:w="2268" w:type="dxa"/>
            <w:vAlign w:val="center"/>
          </w:tcPr>
          <w:p>
            <w:pPr>
              <w:pStyle w:val="15"/>
            </w:pPr>
            <w:r>
              <w:t>显著提升</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系统正常使用的年限</w:t>
            </w:r>
          </w:p>
        </w:tc>
        <w:tc>
          <w:tcPr>
            <w:tcW w:w="5386" w:type="dxa"/>
            <w:vAlign w:val="center"/>
          </w:tcPr>
          <w:p>
            <w:pPr>
              <w:pStyle w:val="15"/>
            </w:pPr>
            <w:r>
              <w:t>使用的年限</w:t>
            </w:r>
          </w:p>
        </w:tc>
        <w:tc>
          <w:tcPr>
            <w:tcW w:w="2268" w:type="dxa"/>
            <w:vAlign w:val="center"/>
          </w:tcPr>
          <w:p>
            <w:pPr>
              <w:pStyle w:val="15"/>
            </w:pPr>
            <w:r>
              <w:t>≥5年</w:t>
            </w:r>
          </w:p>
        </w:tc>
        <w:tc>
          <w:tcPr>
            <w:tcW w:w="1276" w:type="dxa"/>
            <w:vAlign w:val="center"/>
          </w:tcPr>
          <w:p>
            <w:pPr>
              <w:pStyle w:val="15"/>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使用人员对档案室的满意度</w:t>
            </w:r>
          </w:p>
        </w:tc>
        <w:tc>
          <w:tcPr>
            <w:tcW w:w="5386" w:type="dxa"/>
            <w:vAlign w:val="center"/>
          </w:tcPr>
          <w:p>
            <w:pPr>
              <w:pStyle w:val="15"/>
            </w:pPr>
            <w:r>
              <w:t>使用人员的满意度</w:t>
            </w:r>
          </w:p>
        </w:tc>
        <w:tc>
          <w:tcPr>
            <w:tcW w:w="2268" w:type="dxa"/>
            <w:vAlign w:val="center"/>
          </w:tcPr>
          <w:p>
            <w:pPr>
              <w:pStyle w:val="15"/>
            </w:pPr>
            <w:r>
              <w:t>≥95百分比</w:t>
            </w:r>
          </w:p>
        </w:tc>
        <w:tc>
          <w:tcPr>
            <w:tcW w:w="1276" w:type="dxa"/>
            <w:vAlign w:val="center"/>
          </w:tcPr>
          <w:p>
            <w:pPr>
              <w:pStyle w:val="15"/>
            </w:pPr>
            <w:r>
              <w:t>河北省机关档案工作目标管理认定办法</w:t>
            </w:r>
          </w:p>
        </w:tc>
      </w:tr>
    </w:tbl>
    <w:p>
      <w:pPr>
        <w:sectPr>
          <w:type w:val="continuous"/>
          <w:pgSz w:w="16840" w:h="11900" w:orient="landscape"/>
          <w:pgMar w:top="1361" w:right="1020" w:bottom="1134" w:left="1020" w:header="720" w:footer="720" w:gutter="0"/>
          <w:cols w:equalWidth="0" w:num="1">
            <w:col w:w="14800"/>
          </w:cols>
        </w:sectPr>
      </w:pPr>
    </w:p>
    <w:p>
      <w:pPr>
        <w:rPr>
          <w:rFonts w:ascii="方正仿宋_GBK" w:hAnsi="方正仿宋_GBK" w:eastAsia="方正仿宋_GBK" w:cs="方正仿宋_GBK"/>
          <w:color w:val="000000"/>
          <w:sz w:val="28"/>
        </w:rPr>
      </w:pPr>
    </w:p>
    <w:p>
      <w:pPr>
        <w:ind w:firstLine="560" w:firstLineChars="2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2023年新华区检察院政法部门业务装备专项经费绩效目标</w:t>
      </w:r>
      <w:r>
        <w:rPr>
          <w:rFonts w:hint="eastAsia" w:ascii="方正仿宋_GBK" w:hAnsi="方正仿宋_GBK" w:eastAsia="方正仿宋_GBK" w:cs="方正仿宋_GBK"/>
          <w:color w:val="000000"/>
          <w:sz w:val="28"/>
          <w:szCs w:val="28"/>
          <w:lang w:eastAsia="zh-CN"/>
        </w:rPr>
        <w:t>表</w:t>
      </w:r>
    </w:p>
    <w:p>
      <w:pPr>
        <w:ind w:firstLine="1120" w:firstLineChars="4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依沧市财政法（2023）189号文件规定不予公开</w:t>
      </w: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沧州市新华检察院第二批政法转移支付扫黑经费绩效目标</w:t>
      </w:r>
      <w:r>
        <w:rPr>
          <w:rFonts w:hint="eastAsia" w:ascii="方正仿宋_GBK" w:hAnsi="方正仿宋_GBK" w:eastAsia="方正仿宋_GBK" w:cs="方正仿宋_GBK"/>
          <w:color w:val="000000"/>
          <w:sz w:val="28"/>
          <w:szCs w:val="28"/>
          <w:lang w:eastAsia="zh-CN"/>
        </w:rPr>
        <w:t>表</w:t>
      </w:r>
    </w:p>
    <w:p>
      <w:pPr>
        <w:ind w:firstLine="1120" w:firstLineChars="4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依沧市财政法（2023）163号文件规定不予公开</w:t>
      </w: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4、</w:t>
      </w:r>
      <w:r>
        <w:rPr>
          <w:rFonts w:hint="eastAsia" w:ascii="方正仿宋_GBK" w:hAnsi="方正仿宋_GBK" w:eastAsia="方正仿宋_GBK" w:cs="方正仿宋_GBK"/>
          <w:color w:val="000000"/>
          <w:sz w:val="28"/>
          <w:szCs w:val="28"/>
        </w:rPr>
        <w:t>新华区检察院2023年第二批政法转移支付资金绩效目标</w:t>
      </w:r>
      <w:r>
        <w:rPr>
          <w:rFonts w:hint="eastAsia" w:ascii="方正仿宋_GBK" w:hAnsi="方正仿宋_GBK" w:eastAsia="方正仿宋_GBK" w:cs="方正仿宋_GBK"/>
          <w:sz w:val="28"/>
          <w:szCs w:val="28"/>
          <w:lang w:eastAsia="zh-CN"/>
        </w:rPr>
        <w:t>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依沧市财政法【2023】134号文件规定不予公开</w:t>
      </w:r>
    </w:p>
    <w:p>
      <w:pPr>
        <w:ind w:firstLine="56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5、</w:t>
      </w:r>
      <w:r>
        <w:rPr>
          <w:rFonts w:ascii="方正仿宋_GBK" w:hAnsi="方正仿宋_GBK" w:eastAsia="方正仿宋_GBK" w:cs="方正仿宋_GBK"/>
          <w:color w:val="000000"/>
          <w:sz w:val="28"/>
        </w:rPr>
        <w:t>新华区检察院2023年省级转移支付资金绩效目标表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依沧市财政法【2023】114号文件规定不予公开</w:t>
      </w:r>
    </w:p>
    <w:p>
      <w:pPr>
        <w:ind w:firstLine="56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6、</w:t>
      </w:r>
      <w:r>
        <w:rPr>
          <w:rFonts w:hint="eastAsia" w:ascii="方正仿宋_GBK" w:hAnsi="方正仿宋_GBK" w:eastAsia="方正仿宋_GBK" w:cs="方正仿宋_GBK"/>
          <w:color w:val="000000"/>
          <w:sz w:val="28"/>
          <w:szCs w:val="28"/>
        </w:rPr>
        <w:t>新华区检察院2023年中央转移支付绩效目标</w:t>
      </w:r>
      <w:r>
        <w:rPr>
          <w:rFonts w:hint="eastAsia" w:ascii="方正仿宋_GBK" w:hAnsi="方正仿宋_GBK" w:eastAsia="方正仿宋_GBK" w:cs="方正仿宋_GBK"/>
          <w:color w:val="000000"/>
          <w:sz w:val="28"/>
          <w:szCs w:val="28"/>
          <w:lang w:eastAsia="zh-CN"/>
        </w:rPr>
        <w:t>表</w:t>
      </w:r>
    </w:p>
    <w:p>
      <w:pPr>
        <w:ind w:left="480" w:leftChars="200" w:firstLine="280" w:firstLineChars="1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依沧市财政法【2022】113号文件规定不予公开</w:t>
      </w: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7、</w:t>
      </w:r>
      <w:r>
        <w:rPr>
          <w:rFonts w:hint="eastAsia" w:ascii="方正仿宋_GBK" w:hAnsi="方正仿宋_GBK" w:eastAsia="方正仿宋_GBK" w:cs="方正仿宋_GBK"/>
          <w:color w:val="000000"/>
          <w:sz w:val="28"/>
          <w:szCs w:val="28"/>
        </w:rPr>
        <w:t>新华区检察院2024年省级政法转移支付资金绩效目标</w:t>
      </w:r>
      <w:r>
        <w:rPr>
          <w:rFonts w:hint="eastAsia" w:ascii="方正仿宋_GBK" w:hAnsi="方正仿宋_GBK" w:eastAsia="方正仿宋_GBK" w:cs="方正仿宋_GBK"/>
          <w:color w:val="000000"/>
          <w:sz w:val="28"/>
          <w:szCs w:val="28"/>
          <w:lang w:eastAsia="zh-CN"/>
        </w:rPr>
        <w:t>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依沧市财政法【2023】228号文件规定不予公开</w:t>
      </w: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8、</w:t>
      </w:r>
      <w:r>
        <w:rPr>
          <w:rFonts w:hint="eastAsia" w:ascii="方正仿宋_GBK" w:hAnsi="方正仿宋_GBK" w:eastAsia="方正仿宋_GBK" w:cs="方正仿宋_GBK"/>
          <w:color w:val="000000"/>
          <w:sz w:val="28"/>
          <w:szCs w:val="28"/>
        </w:rPr>
        <w:t>新华区检察院2024年省级政法转移支付资金绩效目标</w:t>
      </w:r>
      <w:r>
        <w:rPr>
          <w:rFonts w:hint="eastAsia" w:ascii="方正仿宋_GBK" w:hAnsi="方正仿宋_GBK" w:eastAsia="方正仿宋_GBK" w:cs="方正仿宋_GBK"/>
          <w:color w:val="000000"/>
          <w:sz w:val="28"/>
          <w:szCs w:val="28"/>
          <w:lang w:eastAsia="zh-CN"/>
        </w:rPr>
        <w:t>表</w:t>
      </w:r>
    </w:p>
    <w:p>
      <w:pPr>
        <w:ind w:left="480" w:leftChars="200" w:firstLine="280" w:firstLineChars="1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依沧市财政法【2023】227号文件规定不予公开</w:t>
      </w: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9、</w:t>
      </w:r>
      <w:r>
        <w:rPr>
          <w:rFonts w:hint="eastAsia" w:ascii="方正仿宋_GBK" w:hAnsi="方正仿宋_GBK" w:eastAsia="方正仿宋_GBK" w:cs="方正仿宋_GBK"/>
          <w:color w:val="000000"/>
          <w:sz w:val="28"/>
          <w:szCs w:val="28"/>
        </w:rPr>
        <w:t>新华区检察院2024年中央政法纪检监察转移支付资金绩效目标</w:t>
      </w:r>
      <w:r>
        <w:rPr>
          <w:rFonts w:hint="eastAsia" w:ascii="方正仿宋_GBK" w:hAnsi="方正仿宋_GBK" w:eastAsia="方正仿宋_GBK" w:cs="方正仿宋_GBK"/>
          <w:color w:val="000000"/>
          <w:sz w:val="28"/>
          <w:szCs w:val="28"/>
          <w:lang w:eastAsia="zh-CN"/>
        </w:rPr>
        <w:t>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依沧市财政法【2023】227号文件规定不予公开</w:t>
      </w:r>
    </w:p>
    <w:p>
      <w:pPr>
        <w:ind w:firstLine="560" w:firstLineChars="200"/>
        <w:rPr>
          <w:rFonts w:ascii="方正仿宋_GBK" w:hAnsi="方正仿宋_GBK" w:eastAsia="方正仿宋_GBK" w:cs="方正仿宋_GBK"/>
          <w:color w:val="000000"/>
          <w:sz w:val="28"/>
          <w:lang w:eastAsia="zh-CN"/>
        </w:rPr>
      </w:pPr>
    </w:p>
    <w:p>
      <w:pPr>
        <w:rPr>
          <w:rFonts w:ascii="方正仿宋_GBK" w:hAnsi="方正仿宋_GBK" w:eastAsia="方正仿宋_GBK" w:cs="方正仿宋_GBK"/>
          <w:color w:val="000000"/>
          <w:sz w:val="28"/>
          <w:lang w:eastAsia="zh-CN"/>
        </w:rPr>
      </w:pPr>
    </w:p>
    <w:p>
      <w:pPr>
        <w:ind w:left="560"/>
        <w:rPr>
          <w:rFonts w:ascii="方正仿宋_GBK" w:hAnsi="方正仿宋_GBK" w:eastAsia="方正仿宋_GBK" w:cs="方正仿宋_GBK"/>
          <w:color w:val="000000"/>
          <w:sz w:val="28"/>
          <w:lang w:eastAsia="zh-CN"/>
        </w:rPr>
      </w:pPr>
    </w:p>
    <w:p>
      <w:pPr>
        <w:rPr>
          <w:rFonts w:ascii="方正仿宋_GBK" w:hAnsi="方正仿宋_GBK" w:eastAsia="方正仿宋_GBK" w:cs="方正仿宋_GBK"/>
          <w:color w:val="000000"/>
          <w:sz w:val="28"/>
          <w:lang w:eastAsia="zh-CN"/>
        </w:rPr>
      </w:pPr>
    </w:p>
    <w:p>
      <w:pPr>
        <w:ind w:firstLine="560" w:firstLineChars="200"/>
        <w:rPr>
          <w:rFonts w:ascii="方正仿宋_GBK" w:hAnsi="方正仿宋_GBK" w:eastAsia="方正仿宋_GBK" w:cs="方正仿宋_GBK"/>
          <w:color w:val="000000"/>
          <w:sz w:val="28"/>
          <w:lang w:eastAsia="zh-CN"/>
        </w:rPr>
      </w:pPr>
    </w:p>
    <w:p>
      <w:pPr>
        <w:rPr>
          <w:rFonts w:ascii="方正仿宋_GBK" w:hAnsi="方正仿宋_GBK" w:eastAsia="方正仿宋_GBK" w:cs="方正仿宋_GBK"/>
          <w:color w:val="000000"/>
          <w:sz w:val="28"/>
          <w:lang w:eastAsia="zh-CN"/>
        </w:rPr>
      </w:pPr>
      <w:r>
        <w:rPr>
          <w:rFonts w:hint="eastAsia" w:ascii="方正仿宋_GBK" w:hAnsi="方正仿宋_GBK" w:eastAsia="方正仿宋_GBK" w:cs="方正仿宋_GBK"/>
          <w:color w:val="000000"/>
          <w:sz w:val="28"/>
          <w:lang w:eastAsia="zh-CN"/>
        </w:rPr>
        <w:t xml:space="preserve">   </w:t>
      </w:r>
    </w:p>
    <w:p>
      <w:pPr>
        <w:spacing w:line="2" w:lineRule="exact"/>
        <w:jc w:val="center"/>
      </w:pPr>
    </w:p>
    <w:p>
      <w:pPr>
        <w:spacing w:line="2" w:lineRule="exact"/>
        <w:jc w:val="center"/>
      </w:pPr>
    </w:p>
    <w:p>
      <w:pPr>
        <w:spacing w:line="2" w:lineRule="exact"/>
        <w:jc w:val="center"/>
        <w:sectPr>
          <w:pgSz w:w="16840" w:h="11900" w:orient="landscape"/>
          <w:pgMar w:top="1361" w:right="1020" w:bottom="1134" w:left="1020" w:header="720" w:footer="720" w:gutter="0"/>
          <w:cols w:equalWidth="0" w:num="1">
            <w:col w:w="14800"/>
          </w:cols>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198沧州市新华区人民检察院</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eastAsia="zh-CN"/>
        </w:rPr>
        <w:t>依据沧市财政法【</w:t>
      </w:r>
      <w:r>
        <w:rPr>
          <w:rFonts w:hint="eastAsia" w:ascii="方正书宋_GBK" w:hAnsi="方正书宋_GBK" w:eastAsia="方正书宋_GBK" w:cs="方正书宋_GBK"/>
          <w:color w:val="000000"/>
          <w:sz w:val="21"/>
          <w:lang w:val="en-US" w:eastAsia="zh-CN"/>
        </w:rPr>
        <w:t>2023</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val="en-US" w:eastAsia="zh-CN"/>
        </w:rPr>
        <w:t>227号文件，涉密不予公开</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bookmarkStart w:id="18" w:name="_Toc_3_3_0000000019"/>
      <w:r>
        <w:rPr>
          <w:rFonts w:eastAsia="方正仿宋_GBK" w:cs="Times New Roman"/>
          <w:color w:val="000000"/>
          <w:sz w:val="28"/>
        </w:rPr>
        <w:t>沧州市新华区人民检察院（含所属单位）上年末固定资产金额为</w:t>
      </w:r>
      <w:r>
        <w:rPr>
          <w:rFonts w:hint="eastAsia" w:cs="Times New Roman" w:eastAsiaTheme="minorEastAsia"/>
          <w:color w:val="000000"/>
          <w:sz w:val="28"/>
          <w:lang w:eastAsia="zh-CN"/>
        </w:rPr>
        <w:t>1784.57</w:t>
      </w:r>
      <w:r>
        <w:rPr>
          <w:rFonts w:eastAsia="方正仿宋_GBK" w:cs="Times New Roman"/>
          <w:color w:val="000000"/>
          <w:sz w:val="28"/>
        </w:rPr>
        <w:t>万元（详见下表）。本年度拟购置固定资产总额为</w:t>
      </w:r>
      <w:r>
        <w:rPr>
          <w:rFonts w:hint="eastAsia" w:cs="Times New Roman" w:eastAsiaTheme="minorEastAsia"/>
          <w:color w:val="000000"/>
          <w:sz w:val="28"/>
          <w:lang w:val="en-US" w:eastAsia="zh-CN"/>
        </w:rPr>
        <w:t>0</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198001沧州市新华区人民检察院本级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hint="eastAsia" w:ascii="微软雅黑" w:hAnsi="微软雅黑" w:eastAsia="微软雅黑" w:cs="宋体"/>
              </w:rPr>
              <w:t>资产总额</w:t>
            </w:r>
          </w:p>
        </w:tc>
        <w:tc>
          <w:tcPr>
            <w:tcW w:w="2835" w:type="dxa"/>
            <w:vAlign w:val="center"/>
          </w:tcPr>
          <w:p>
            <w:pPr>
              <w:pStyle w:val="16"/>
              <w:rPr>
                <w:lang w:eastAsia="zh-CN"/>
              </w:rPr>
            </w:pPr>
            <w:r>
              <w:rPr>
                <w:rFonts w:hint="eastAsia"/>
                <w:lang w:eastAsia="zh-CN"/>
              </w:rPr>
              <w:t>1123</w:t>
            </w:r>
          </w:p>
        </w:tc>
        <w:tc>
          <w:tcPr>
            <w:tcW w:w="2835" w:type="dxa"/>
            <w:vAlign w:val="center"/>
          </w:tcPr>
          <w:p>
            <w:pPr>
              <w:pStyle w:val="14"/>
              <w:rPr>
                <w:lang w:eastAsia="zh-CN"/>
              </w:rPr>
            </w:pPr>
            <w:r>
              <w:rPr>
                <w:rFonts w:hint="eastAsia"/>
                <w:lang w:eastAsia="zh-CN"/>
              </w:rPr>
              <w:t>1784.57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1</w:t>
            </w:r>
            <w:r>
              <w:rPr>
                <w:rFonts w:hint="eastAsia" w:ascii="微软雅黑" w:hAnsi="微软雅黑" w:eastAsia="微软雅黑" w:cs="宋体"/>
              </w:rPr>
              <w:t>、房屋（平方米）</w:t>
            </w:r>
          </w:p>
        </w:tc>
        <w:tc>
          <w:tcPr>
            <w:tcW w:w="2835" w:type="dxa"/>
            <w:vAlign w:val="center"/>
          </w:tcPr>
          <w:p>
            <w:pPr>
              <w:pStyle w:val="16"/>
              <w:rPr>
                <w:lang w:eastAsia="zh-CN"/>
              </w:rPr>
            </w:pPr>
            <w:r>
              <w:rPr>
                <w:rFonts w:hint="eastAsia"/>
                <w:lang w:eastAsia="zh-CN"/>
              </w:rPr>
              <w:t>3463.00</w:t>
            </w:r>
          </w:p>
        </w:tc>
        <w:tc>
          <w:tcPr>
            <w:tcW w:w="2835" w:type="dxa"/>
            <w:vAlign w:val="center"/>
          </w:tcPr>
          <w:p>
            <w:pPr>
              <w:pStyle w:val="14"/>
              <w:rPr>
                <w:lang w:eastAsia="zh-CN"/>
              </w:rPr>
            </w:pPr>
            <w:r>
              <w:rPr>
                <w:rFonts w:hint="eastAsia"/>
                <w:lang w:eastAsia="zh-CN"/>
              </w:rPr>
              <w:t>701.92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hint="eastAsia" w:ascii="微软雅黑" w:hAnsi="微软雅黑" w:eastAsia="微软雅黑" w:cs="宋体"/>
              </w:rPr>
              <w:t>　　其中：办公用房（平方米）</w:t>
            </w:r>
          </w:p>
        </w:tc>
        <w:tc>
          <w:tcPr>
            <w:tcW w:w="2835" w:type="dxa"/>
            <w:vAlign w:val="center"/>
          </w:tcPr>
          <w:p>
            <w:pPr>
              <w:pStyle w:val="16"/>
              <w:rPr>
                <w:lang w:eastAsia="zh-CN"/>
              </w:rPr>
            </w:pPr>
            <w:r>
              <w:rPr>
                <w:rFonts w:hint="eastAsia"/>
                <w:lang w:eastAsia="zh-CN"/>
              </w:rPr>
              <w:t>1185.30</w:t>
            </w:r>
          </w:p>
        </w:tc>
        <w:tc>
          <w:tcPr>
            <w:tcW w:w="2835" w:type="dxa"/>
            <w:vAlign w:val="center"/>
          </w:tcPr>
          <w:p>
            <w:pPr>
              <w:pStyle w:val="14"/>
              <w:rPr>
                <w:lang w:eastAsia="zh-CN"/>
              </w:rPr>
            </w:pPr>
            <w:r>
              <w:rPr>
                <w:rFonts w:hint="eastAsia"/>
                <w:lang w:eastAsia="zh-CN"/>
              </w:rPr>
              <w:t>240.26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2</w:t>
            </w:r>
            <w:r>
              <w:rPr>
                <w:rFonts w:hint="eastAsia" w:ascii="微软雅黑" w:hAnsi="微软雅黑" w:eastAsia="微软雅黑" w:cs="宋体"/>
              </w:rPr>
              <w:t>、车辆（台、辆）</w:t>
            </w:r>
          </w:p>
        </w:tc>
        <w:tc>
          <w:tcPr>
            <w:tcW w:w="2835" w:type="dxa"/>
            <w:vAlign w:val="center"/>
          </w:tcPr>
          <w:p>
            <w:pPr>
              <w:pStyle w:val="16"/>
              <w:rPr>
                <w:lang w:eastAsia="zh-CN"/>
              </w:rPr>
            </w:pPr>
            <w:r>
              <w:rPr>
                <w:rFonts w:hint="eastAsia"/>
                <w:lang w:eastAsia="zh-CN"/>
              </w:rPr>
              <w:t>14</w:t>
            </w:r>
          </w:p>
        </w:tc>
        <w:tc>
          <w:tcPr>
            <w:tcW w:w="2835" w:type="dxa"/>
            <w:vAlign w:val="center"/>
          </w:tcPr>
          <w:p>
            <w:pPr>
              <w:pStyle w:val="14"/>
              <w:rPr>
                <w:lang w:eastAsia="zh-CN"/>
              </w:rPr>
            </w:pPr>
            <w:r>
              <w:rPr>
                <w:rFonts w:hint="eastAsia"/>
                <w:lang w:eastAsia="zh-CN"/>
              </w:rPr>
              <w:t>213.61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3</w:t>
            </w:r>
            <w:r>
              <w:rPr>
                <w:rFonts w:hint="eastAsia" w:ascii="微软雅黑" w:hAnsi="微软雅黑" w:eastAsia="微软雅黑" w:cs="宋体"/>
              </w:rPr>
              <w:t>、单价在</w:t>
            </w:r>
            <w:r>
              <w:rPr>
                <w:rFonts w:ascii="微软雅黑" w:hAnsi="微软雅黑" w:eastAsia="微软雅黑"/>
              </w:rPr>
              <w:t>20</w:t>
            </w:r>
            <w:r>
              <w:rPr>
                <w:rFonts w:hint="eastAsia" w:ascii="微软雅黑" w:hAnsi="微软雅黑" w:eastAsia="微软雅黑" w:cs="宋体"/>
              </w:rPr>
              <w:t>万元以上的设备</w:t>
            </w:r>
          </w:p>
        </w:tc>
        <w:tc>
          <w:tcPr>
            <w:tcW w:w="2835" w:type="dxa"/>
            <w:vAlign w:val="center"/>
          </w:tcPr>
          <w:p>
            <w:pPr>
              <w:pStyle w:val="16"/>
              <w:rPr>
                <w:lang w:eastAsia="zh-CN"/>
              </w:rPr>
            </w:pPr>
            <w:r>
              <w:rPr>
                <w:rFonts w:hint="eastAsia"/>
                <w:lang w:eastAsia="zh-CN"/>
              </w:rPr>
              <w:t>0</w:t>
            </w:r>
          </w:p>
        </w:tc>
        <w:tc>
          <w:tcPr>
            <w:tcW w:w="2835" w:type="dxa"/>
            <w:vAlign w:val="center"/>
          </w:tcPr>
          <w:p>
            <w:pPr>
              <w:pStyle w:val="14"/>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4</w:t>
            </w:r>
            <w:r>
              <w:rPr>
                <w:rFonts w:hint="eastAsia" w:ascii="微软雅黑" w:hAnsi="微软雅黑" w:eastAsia="微软雅黑" w:cs="宋体"/>
              </w:rPr>
              <w:t>、其他固定资产</w:t>
            </w:r>
          </w:p>
        </w:tc>
        <w:tc>
          <w:tcPr>
            <w:tcW w:w="2835" w:type="dxa"/>
            <w:vAlign w:val="center"/>
          </w:tcPr>
          <w:p>
            <w:pPr>
              <w:pStyle w:val="16"/>
              <w:rPr>
                <w:lang w:eastAsia="zh-CN"/>
              </w:rPr>
            </w:pPr>
            <w:r>
              <w:rPr>
                <w:rFonts w:hint="eastAsia"/>
                <w:lang w:eastAsia="zh-CN"/>
              </w:rPr>
              <w:t>1109</w:t>
            </w:r>
          </w:p>
        </w:tc>
        <w:tc>
          <w:tcPr>
            <w:tcW w:w="2835" w:type="dxa"/>
            <w:vAlign w:val="center"/>
          </w:tcPr>
          <w:p>
            <w:pPr>
              <w:pStyle w:val="14"/>
              <w:rPr>
                <w:lang w:eastAsia="zh-CN"/>
              </w:rPr>
            </w:pPr>
            <w:r>
              <w:rPr>
                <w:rFonts w:hint="eastAsia"/>
                <w:lang w:eastAsia="zh-CN"/>
              </w:rPr>
              <w:t>869.04</w:t>
            </w:r>
          </w:p>
        </w:tc>
      </w:tr>
    </w:tbl>
    <w:p>
      <w:pPr>
        <w:ind w:firstLine="420"/>
      </w:pPr>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34AE7"/>
    <w:multiLevelType w:val="singleLevel"/>
    <w:tmpl w:val="E4E34AE7"/>
    <w:lvl w:ilvl="0" w:tentative="0">
      <w:start w:val="3"/>
      <w:numFmt w:val="chineseCounting"/>
      <w:suff w:val="nothing"/>
      <w:lvlText w:val="%1、"/>
      <w:lvlJc w:val="left"/>
      <w:rPr>
        <w:rFonts w:hint="eastAsia"/>
      </w:rPr>
    </w:lvl>
  </w:abstractNum>
  <w:abstractNum w:abstractNumId="1">
    <w:nsid w:val="410A7C41"/>
    <w:multiLevelType w:val="singleLevel"/>
    <w:tmpl w:val="410A7C41"/>
    <w:lvl w:ilvl="0" w:tentative="0">
      <w:start w:val="6"/>
      <w:numFmt w:val="chineseCounting"/>
      <w:suff w:val="nothing"/>
      <w:lvlText w:val="%1、"/>
      <w:lvlJc w:val="left"/>
      <w:rPr>
        <w:rFonts w:hint="eastAsia"/>
      </w:rPr>
    </w:lvl>
  </w:abstractNum>
  <w:abstractNum w:abstractNumId="2">
    <w:nsid w:val="469F18D1"/>
    <w:multiLevelType w:val="singleLevel"/>
    <w:tmpl w:val="469F18D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GE5YWVjZWM3MDMwMjg5OGUzZThiMWY1ZjNiYjAifQ=="/>
  </w:docVars>
  <w:rsids>
    <w:rsidRoot w:val="00694BA8"/>
    <w:rsid w:val="000232BF"/>
    <w:rsid w:val="001E75B3"/>
    <w:rsid w:val="00694BA8"/>
    <w:rsid w:val="008D3D91"/>
    <w:rsid w:val="00E8419F"/>
    <w:rsid w:val="0193296B"/>
    <w:rsid w:val="037D0349"/>
    <w:rsid w:val="054B35C3"/>
    <w:rsid w:val="09D90390"/>
    <w:rsid w:val="0CD40708"/>
    <w:rsid w:val="0F7505CA"/>
    <w:rsid w:val="10912CD1"/>
    <w:rsid w:val="10C264B3"/>
    <w:rsid w:val="1212349F"/>
    <w:rsid w:val="15211F80"/>
    <w:rsid w:val="178C5AA1"/>
    <w:rsid w:val="1F047532"/>
    <w:rsid w:val="22934188"/>
    <w:rsid w:val="256911D0"/>
    <w:rsid w:val="27CE044B"/>
    <w:rsid w:val="28A30500"/>
    <w:rsid w:val="2C0E257A"/>
    <w:rsid w:val="2DF55F0B"/>
    <w:rsid w:val="30B579BF"/>
    <w:rsid w:val="31A70F2E"/>
    <w:rsid w:val="35B4432A"/>
    <w:rsid w:val="39B34461"/>
    <w:rsid w:val="42BF1DD6"/>
    <w:rsid w:val="43CF0085"/>
    <w:rsid w:val="46674E60"/>
    <w:rsid w:val="467F576B"/>
    <w:rsid w:val="47951F77"/>
    <w:rsid w:val="49E26660"/>
    <w:rsid w:val="4BD20FCE"/>
    <w:rsid w:val="4C5C0F84"/>
    <w:rsid w:val="4DD368EC"/>
    <w:rsid w:val="4E2A2BBE"/>
    <w:rsid w:val="4E791BD4"/>
    <w:rsid w:val="50B435B9"/>
    <w:rsid w:val="54DC15B5"/>
    <w:rsid w:val="55FC251A"/>
    <w:rsid w:val="56D949DE"/>
    <w:rsid w:val="59F51B9B"/>
    <w:rsid w:val="5C480E38"/>
    <w:rsid w:val="5EBE1826"/>
    <w:rsid w:val="5F625ED6"/>
    <w:rsid w:val="5F797C86"/>
    <w:rsid w:val="62051CA5"/>
    <w:rsid w:val="65613696"/>
    <w:rsid w:val="65AB5853"/>
    <w:rsid w:val="68751207"/>
    <w:rsid w:val="6D655586"/>
    <w:rsid w:val="6EB5235D"/>
    <w:rsid w:val="6F3C482C"/>
    <w:rsid w:val="71DB032D"/>
    <w:rsid w:val="74B13296"/>
    <w:rsid w:val="79FF597C"/>
    <w:rsid w:val="7C305719"/>
    <w:rsid w:val="7E56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2024-02-20T17:22:42Z</dcterms:created>
  <dcterms:modified xsi:type="dcterms:W3CDTF">2024-02-20T09:22:42Z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2024-02-20T17:22:43Z</dcterms:created>
  <dcterms:modified xsi:type="dcterms:W3CDTF">2024-02-20T09:22:43Z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2024-02-20T17:22:41Z</dcterms:created>
  <dcterms:modified xsi:type="dcterms:W3CDTF">2024-02-20T09:22:41Z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2024-02-20T17:22:41Z</dcterms:created>
  <dcterms:modified xsi:type="dcterms:W3CDTF">2024-02-20T09:22:41Z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2024-02-20T17:22:42Z</dcterms:created>
  <dcterms:modified xsi:type="dcterms:W3CDTF">2024-02-20T09:22:42Z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2024-02-20T17:22:41Z</dcterms:created>
  <dcterms:modified xsi:type="dcterms:W3CDTF">2024-02-20T09:22:41Z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2024-02-20T17:22:43Z</dcterms:created>
  <dcterms:modified xsi:type="dcterms:W3CDTF">2024-02-20T09:22:43Z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2024-02-20T17:22:37Z</dcterms:created>
  <dcterms:modified xsi:type="dcterms:W3CDTF">2024-02-20T09:22:37Z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2024-02-20T17:22:41Z</dcterms:created>
  <dcterms:modified xsi:type="dcterms:W3CDTF">2024-02-20T09:22:41Z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2024-02-20T17:22:41Z</dcterms:created>
  <dcterms:modified xsi:type="dcterms:W3CDTF">2024-02-20T09:22:41Z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2024-02-20T17:22:42Z</dcterms:created>
  <dcterms:modified xsi:type="dcterms:W3CDTF">2024-02-20T09:22:42Z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2024-02-20T17:22:43Z</dcterms:created>
  <dcterms:modified xsi:type="dcterms:W3CDTF">2024-02-20T09:22:43Z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2024-02-20T17:22:44Z</dcterms:created>
  <dcterms:modified xsi:type="dcterms:W3CDTF">2024-02-20T09:22:44Z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777302-BCCA-49CA-AF48-CD5EF6F43B39}">
  <ds:schemaRefs/>
</ds:datastoreItem>
</file>

<file path=customXml/itemProps10.xml><?xml version="1.0" encoding="utf-8"?>
<ds:datastoreItem xmlns:ds="http://schemas.openxmlformats.org/officeDocument/2006/customXml" ds:itemID="{2CB82EAA-5274-4054-98B3-84DAECAC871F}">
  <ds:schemaRefs/>
</ds:datastoreItem>
</file>

<file path=customXml/itemProps11.xml><?xml version="1.0" encoding="utf-8"?>
<ds:datastoreItem xmlns:ds="http://schemas.openxmlformats.org/officeDocument/2006/customXml" ds:itemID="{0EEABC76-34BC-4858-A687-CF38B88298EE}">
  <ds:schemaRefs/>
</ds:datastoreItem>
</file>

<file path=customXml/itemProps12.xml><?xml version="1.0" encoding="utf-8"?>
<ds:datastoreItem xmlns:ds="http://schemas.openxmlformats.org/officeDocument/2006/customXml" ds:itemID="{324E3BFA-033A-4ACD-8664-2B9AAA0E72BA}">
  <ds:schemaRefs/>
</ds:datastoreItem>
</file>

<file path=customXml/itemProps13.xml><?xml version="1.0" encoding="utf-8"?>
<ds:datastoreItem xmlns:ds="http://schemas.openxmlformats.org/officeDocument/2006/customXml" ds:itemID="{2C8EDA46-F1E0-4CBF-AC6F-9B44E1CDB913}">
  <ds:schemaRefs/>
</ds:datastoreItem>
</file>

<file path=customXml/itemProps14.xml><?xml version="1.0" encoding="utf-8"?>
<ds:datastoreItem xmlns:ds="http://schemas.openxmlformats.org/officeDocument/2006/customXml" ds:itemID="{03A2967B-E7A1-4EEE-A7F6-20EBFB017E89}">
  <ds:schemaRefs/>
</ds:datastoreItem>
</file>

<file path=customXml/itemProps15.xml><?xml version="1.0" encoding="utf-8"?>
<ds:datastoreItem xmlns:ds="http://schemas.openxmlformats.org/officeDocument/2006/customXml" ds:itemID="{A99CF141-69B0-4F4D-92CD-FCE513AF81B4}">
  <ds:schemaRefs/>
</ds:datastoreItem>
</file>

<file path=customXml/itemProps16.xml><?xml version="1.0" encoding="utf-8"?>
<ds:datastoreItem xmlns:ds="http://schemas.openxmlformats.org/officeDocument/2006/customXml" ds:itemID="{43C387E3-DB3A-41EA-B756-5A83D82540B6}">
  <ds:schemaRefs/>
</ds:datastoreItem>
</file>

<file path=customXml/itemProps17.xml><?xml version="1.0" encoding="utf-8"?>
<ds:datastoreItem xmlns:ds="http://schemas.openxmlformats.org/officeDocument/2006/customXml" ds:itemID="{19F10E1D-F1E9-42A9-96AB-9FB4A0716263}">
  <ds:schemaRefs/>
</ds:datastoreItem>
</file>

<file path=customXml/itemProps18.xml><?xml version="1.0" encoding="utf-8"?>
<ds:datastoreItem xmlns:ds="http://schemas.openxmlformats.org/officeDocument/2006/customXml" ds:itemID="{F9DC06EE-E05E-4CF1-AF1C-92FAE3A15AAE}">
  <ds:schemaRefs/>
</ds:datastoreItem>
</file>

<file path=customXml/itemProps19.xml><?xml version="1.0" encoding="utf-8"?>
<ds:datastoreItem xmlns:ds="http://schemas.openxmlformats.org/officeDocument/2006/customXml" ds:itemID="{DF6AEE96-7B8C-461F-8643-178F6D24A9B5}">
  <ds:schemaRefs/>
</ds:datastoreItem>
</file>

<file path=customXml/itemProps2.xml><?xml version="1.0" encoding="utf-8"?>
<ds:datastoreItem xmlns:ds="http://schemas.openxmlformats.org/officeDocument/2006/customXml" ds:itemID="{BC683AFC-B1F6-443F-9301-DA8137342BBE}">
  <ds:schemaRefs/>
</ds:datastoreItem>
</file>

<file path=customXml/itemProps20.xml><?xml version="1.0" encoding="utf-8"?>
<ds:datastoreItem xmlns:ds="http://schemas.openxmlformats.org/officeDocument/2006/customXml" ds:itemID="{E717FC3D-244A-4B64-9883-173972E9C2D1}">
  <ds:schemaRefs/>
</ds:datastoreItem>
</file>

<file path=customXml/itemProps21.xml><?xml version="1.0" encoding="utf-8"?>
<ds:datastoreItem xmlns:ds="http://schemas.openxmlformats.org/officeDocument/2006/customXml" ds:itemID="{5909D35F-D522-4EC7-879D-DF10B231A49F}">
  <ds:schemaRefs/>
</ds:datastoreItem>
</file>

<file path=customXml/itemProps22.xml><?xml version="1.0" encoding="utf-8"?>
<ds:datastoreItem xmlns:ds="http://schemas.openxmlformats.org/officeDocument/2006/customXml" ds:itemID="{22A4B5CC-583C-4204-BB19-01116FF63231}">
  <ds:schemaRefs/>
</ds:datastoreItem>
</file>

<file path=customXml/itemProps23.xml><?xml version="1.0" encoding="utf-8"?>
<ds:datastoreItem xmlns:ds="http://schemas.openxmlformats.org/officeDocument/2006/customXml" ds:itemID="{430EC783-AD21-468F-8B1B-BDEDFCA74CC4}">
  <ds:schemaRefs/>
</ds:datastoreItem>
</file>

<file path=customXml/itemProps24.xml><?xml version="1.0" encoding="utf-8"?>
<ds:datastoreItem xmlns:ds="http://schemas.openxmlformats.org/officeDocument/2006/customXml" ds:itemID="{FA66B1F7-6106-4D23-AC08-A58EF5A84595}">
  <ds:schemaRefs/>
</ds:datastoreItem>
</file>

<file path=customXml/itemProps25.xml><?xml version="1.0" encoding="utf-8"?>
<ds:datastoreItem xmlns:ds="http://schemas.openxmlformats.org/officeDocument/2006/customXml" ds:itemID="{DDE88BE3-988A-42A3-9F53-49F705D4BE0B}">
  <ds:schemaRefs/>
</ds:datastoreItem>
</file>

<file path=customXml/itemProps26.xml><?xml version="1.0" encoding="utf-8"?>
<ds:datastoreItem xmlns:ds="http://schemas.openxmlformats.org/officeDocument/2006/customXml" ds:itemID="{C3552159-D555-492C-A3FF-7092ECA9E4C1}">
  <ds:schemaRefs/>
</ds:datastoreItem>
</file>

<file path=customXml/itemProps3.xml><?xml version="1.0" encoding="utf-8"?>
<ds:datastoreItem xmlns:ds="http://schemas.openxmlformats.org/officeDocument/2006/customXml" ds:itemID="{B312BE2A-D806-4EFB-B183-791E0A1CE169}">
  <ds:schemaRefs/>
</ds:datastoreItem>
</file>

<file path=customXml/itemProps4.xml><?xml version="1.0" encoding="utf-8"?>
<ds:datastoreItem xmlns:ds="http://schemas.openxmlformats.org/officeDocument/2006/customXml" ds:itemID="{D5F803CC-2D0A-42EC-93DA-0BB00A3015D7}">
  <ds:schemaRefs/>
</ds:datastoreItem>
</file>

<file path=customXml/itemProps5.xml><?xml version="1.0" encoding="utf-8"?>
<ds:datastoreItem xmlns:ds="http://schemas.openxmlformats.org/officeDocument/2006/customXml" ds:itemID="{CE00471D-9942-497C-B59D-A09281F48952}">
  <ds:schemaRefs/>
</ds:datastoreItem>
</file>

<file path=customXml/itemProps6.xml><?xml version="1.0" encoding="utf-8"?>
<ds:datastoreItem xmlns:ds="http://schemas.openxmlformats.org/officeDocument/2006/customXml" ds:itemID="{A5BDBD52-5548-437A-889F-ABE5A3E4F98D}">
  <ds:schemaRefs/>
</ds:datastoreItem>
</file>

<file path=customXml/itemProps7.xml><?xml version="1.0" encoding="utf-8"?>
<ds:datastoreItem xmlns:ds="http://schemas.openxmlformats.org/officeDocument/2006/customXml" ds:itemID="{5667CEB4-405C-4DB8-8776-CA633AC904B1}">
  <ds:schemaRefs/>
</ds:datastoreItem>
</file>

<file path=customXml/itemProps8.xml><?xml version="1.0" encoding="utf-8"?>
<ds:datastoreItem xmlns:ds="http://schemas.openxmlformats.org/officeDocument/2006/customXml" ds:itemID="{C634C4DA-2F51-4409-B81F-DDC9E557FB0E}">
  <ds:schemaRefs/>
</ds:datastoreItem>
</file>

<file path=customXml/itemProps9.xml><?xml version="1.0" encoding="utf-8"?>
<ds:datastoreItem xmlns:ds="http://schemas.openxmlformats.org/officeDocument/2006/customXml" ds:itemID="{441B7B13-D2E6-462A-8647-6ACF27D4411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39</Pages>
  <Words>9778</Words>
  <Characters>11216</Characters>
  <Lines>106</Lines>
  <Paragraphs>29</Paragraphs>
  <TotalTime>13</TotalTime>
  <ScaleCrop>false</ScaleCrop>
  <LinksUpToDate>false</LinksUpToDate>
  <CharactersWithSpaces>11394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2024-02-20T17:22:00Z</dcterms:created>
  <dc:creator>lenovo01</dc:creator>
  <cp:lastModifiedBy>周芳同♏</cp:lastModifiedBy>
  <cp:lastPrinted>2024-02-21T04:20:00Z</cp:lastPrinted>
  <dcterms:modified xsi:type="dcterms:W3CDTF">2024-08-16T01:09:36Z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10DA3D6E957146F1B5BB544B1F781A06_13</vt:lpwstr>
  </property>
</Properties>
</file>