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一、沧州市新华区人民检察院本级收支预算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一、沧州市新华区人民检察院本级收支预算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1393.99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1544.12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1393.99</w:t>
            </w:r>
          </w:p>
        </w:tc>
        <w:tc>
          <w:tcPr>
            <w:tcW w:w="4535" w:type="dxa"/>
            <w:vAlign w:val="center"/>
          </w:tcPr>
          <w:p>
            <w:pPr>
              <w:pStyle w:val="16"/>
            </w:pPr>
            <w:r>
              <w:t>本年支出合计</w:t>
            </w:r>
          </w:p>
        </w:tc>
        <w:tc>
          <w:tcPr>
            <w:tcW w:w="2126" w:type="dxa"/>
            <w:vAlign w:val="center"/>
          </w:tcPr>
          <w:p>
            <w:pPr>
              <w:pStyle w:val="17"/>
            </w:pPr>
            <w:r>
              <w:t>1544.12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150.13</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1544.12</w:t>
            </w:r>
          </w:p>
        </w:tc>
        <w:tc>
          <w:tcPr>
            <w:tcW w:w="4535" w:type="dxa"/>
            <w:vAlign w:val="center"/>
          </w:tcPr>
          <w:p>
            <w:pPr>
              <w:pStyle w:val="16"/>
            </w:pPr>
            <w:r>
              <w:t>支出总计</w:t>
            </w:r>
          </w:p>
        </w:tc>
        <w:tc>
          <w:tcPr>
            <w:tcW w:w="2126" w:type="dxa"/>
            <w:vAlign w:val="center"/>
          </w:tcPr>
          <w:p>
            <w:pPr>
              <w:pStyle w:val="17"/>
            </w:pPr>
            <w:r>
              <w:t>1544.12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1544.12</w:t>
            </w:r>
          </w:p>
        </w:tc>
        <w:tc>
          <w:tcPr>
            <w:tcW w:w="1134" w:type="dxa"/>
            <w:vAlign w:val="center"/>
          </w:tcPr>
          <w:p>
            <w:pPr>
              <w:pStyle w:val="17"/>
            </w:pPr>
            <w:r>
              <w:t>1393.99</w:t>
            </w:r>
          </w:p>
        </w:tc>
        <w:tc>
          <w:tcPr>
            <w:tcW w:w="1134" w:type="dxa"/>
            <w:vAlign w:val="center"/>
          </w:tcPr>
          <w:p>
            <w:pPr>
              <w:pStyle w:val="17"/>
            </w:pPr>
            <w:r>
              <w:t>1393.99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1544.12</w:t>
            </w:r>
          </w:p>
        </w:tc>
        <w:tc>
          <w:tcPr>
            <w:tcW w:w="1134" w:type="dxa"/>
            <w:vAlign w:val="center"/>
          </w:tcPr>
          <w:p>
            <w:pPr>
              <w:pStyle w:val="13"/>
            </w:pPr>
            <w:r>
              <w:t>1393.99</w:t>
            </w:r>
          </w:p>
        </w:tc>
        <w:tc>
          <w:tcPr>
            <w:tcW w:w="1134" w:type="dxa"/>
            <w:vAlign w:val="center"/>
          </w:tcPr>
          <w:p>
            <w:pPr>
              <w:pStyle w:val="13"/>
            </w:pPr>
            <w:r>
              <w:t>1393.99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1510.12</w:t>
            </w:r>
          </w:p>
        </w:tc>
        <w:tc>
          <w:tcPr>
            <w:tcW w:w="1134" w:type="dxa"/>
            <w:vAlign w:val="center"/>
          </w:tcPr>
          <w:p>
            <w:pPr>
              <w:pStyle w:val="13"/>
            </w:pPr>
            <w:r>
              <w:t>1389.99</w:t>
            </w:r>
          </w:p>
        </w:tc>
        <w:tc>
          <w:tcPr>
            <w:tcW w:w="1134" w:type="dxa"/>
            <w:vAlign w:val="center"/>
          </w:tcPr>
          <w:p>
            <w:pPr>
              <w:pStyle w:val="13"/>
            </w:pPr>
            <w:r>
              <w:t>1389.99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1163.99</w:t>
            </w:r>
          </w:p>
        </w:tc>
        <w:tc>
          <w:tcPr>
            <w:tcW w:w="1134" w:type="dxa"/>
            <w:vAlign w:val="center"/>
          </w:tcPr>
          <w:p>
            <w:pPr>
              <w:pStyle w:val="13"/>
            </w:pPr>
            <w:r>
              <w:t>1163.99</w:t>
            </w:r>
          </w:p>
        </w:tc>
        <w:tc>
          <w:tcPr>
            <w:tcW w:w="1134" w:type="dxa"/>
            <w:vAlign w:val="center"/>
          </w:tcPr>
          <w:p>
            <w:pPr>
              <w:pStyle w:val="13"/>
            </w:pPr>
            <w:r>
              <w:t>1163.99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2040402</w:t>
            </w:r>
          </w:p>
        </w:tc>
        <w:tc>
          <w:tcPr>
            <w:tcW w:w="1559" w:type="dxa"/>
            <w:vAlign w:val="center"/>
          </w:tcPr>
          <w:p>
            <w:pPr>
              <w:pStyle w:val="14"/>
            </w:pPr>
            <w:r>
              <w:t>一般行政管理事务</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311.13</w:t>
            </w:r>
          </w:p>
        </w:tc>
        <w:tc>
          <w:tcPr>
            <w:tcW w:w="1134" w:type="dxa"/>
            <w:vAlign w:val="center"/>
          </w:tcPr>
          <w:p>
            <w:pPr>
              <w:pStyle w:val="13"/>
            </w:pPr>
            <w:r>
              <w:t>191.00</w:t>
            </w:r>
          </w:p>
        </w:tc>
        <w:tc>
          <w:tcPr>
            <w:tcW w:w="1134" w:type="dxa"/>
            <w:vAlign w:val="center"/>
          </w:tcPr>
          <w:p>
            <w:pPr>
              <w:pStyle w:val="13"/>
            </w:pPr>
            <w:r>
              <w:t>191.00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34.00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2049902</w:t>
            </w:r>
          </w:p>
        </w:tc>
        <w:tc>
          <w:tcPr>
            <w:tcW w:w="1559" w:type="dxa"/>
            <w:vAlign w:val="center"/>
          </w:tcPr>
          <w:p>
            <w:pPr>
              <w:pStyle w:val="14"/>
            </w:pPr>
            <w:r>
              <w:t>国家司法救助支出</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2049999</w:t>
            </w:r>
          </w:p>
        </w:tc>
        <w:tc>
          <w:tcPr>
            <w:tcW w:w="1559" w:type="dxa"/>
            <w:vAlign w:val="center"/>
          </w:tcPr>
          <w:p>
            <w:pPr>
              <w:pStyle w:val="14"/>
            </w:pPr>
            <w:r>
              <w:t>其他公共安全支出</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1544.12</w:t>
            </w:r>
          </w:p>
        </w:tc>
        <w:tc>
          <w:tcPr>
            <w:tcW w:w="1361" w:type="dxa"/>
            <w:vAlign w:val="center"/>
          </w:tcPr>
          <w:p>
            <w:pPr>
              <w:pStyle w:val="17"/>
            </w:pPr>
            <w:r>
              <w:t>1163.99</w:t>
            </w:r>
          </w:p>
        </w:tc>
        <w:tc>
          <w:tcPr>
            <w:tcW w:w="1361" w:type="dxa"/>
            <w:vAlign w:val="center"/>
          </w:tcPr>
          <w:p>
            <w:pPr>
              <w:pStyle w:val="17"/>
            </w:pPr>
            <w:r>
              <w:t>380.13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1544.12</w:t>
            </w:r>
          </w:p>
        </w:tc>
        <w:tc>
          <w:tcPr>
            <w:tcW w:w="1361" w:type="dxa"/>
            <w:vAlign w:val="center"/>
          </w:tcPr>
          <w:p>
            <w:pPr>
              <w:pStyle w:val="13"/>
            </w:pPr>
            <w:r>
              <w:t>1163.99</w:t>
            </w:r>
          </w:p>
        </w:tc>
        <w:tc>
          <w:tcPr>
            <w:tcW w:w="1361" w:type="dxa"/>
            <w:vAlign w:val="center"/>
          </w:tcPr>
          <w:p>
            <w:pPr>
              <w:pStyle w:val="13"/>
            </w:pPr>
            <w:r>
              <w:t>380.13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1510.12</w:t>
            </w:r>
          </w:p>
        </w:tc>
        <w:tc>
          <w:tcPr>
            <w:tcW w:w="1361" w:type="dxa"/>
            <w:vAlign w:val="center"/>
          </w:tcPr>
          <w:p>
            <w:pPr>
              <w:pStyle w:val="13"/>
            </w:pPr>
            <w:r>
              <w:t>1163.99</w:t>
            </w:r>
          </w:p>
        </w:tc>
        <w:tc>
          <w:tcPr>
            <w:tcW w:w="1361" w:type="dxa"/>
            <w:vAlign w:val="center"/>
          </w:tcPr>
          <w:p>
            <w:pPr>
              <w:pStyle w:val="13"/>
            </w:pPr>
            <w:r>
              <w:t>346.13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1163.99</w:t>
            </w:r>
          </w:p>
        </w:tc>
        <w:tc>
          <w:tcPr>
            <w:tcW w:w="1361" w:type="dxa"/>
            <w:vAlign w:val="center"/>
          </w:tcPr>
          <w:p>
            <w:pPr>
              <w:pStyle w:val="13"/>
            </w:pPr>
            <w:r>
              <w:t>1163.99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2040402</w:t>
            </w:r>
          </w:p>
        </w:tc>
        <w:tc>
          <w:tcPr>
            <w:tcW w:w="4535" w:type="dxa"/>
            <w:vAlign w:val="center"/>
          </w:tcPr>
          <w:p>
            <w:pPr>
              <w:pStyle w:val="14"/>
            </w:pPr>
            <w:r>
              <w:t>一般行政管理事务</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311.13</w:t>
            </w:r>
          </w:p>
        </w:tc>
        <w:tc>
          <w:tcPr>
            <w:tcW w:w="1361" w:type="dxa"/>
            <w:vAlign w:val="center"/>
          </w:tcPr>
          <w:p>
            <w:pPr>
              <w:pStyle w:val="13"/>
            </w:pPr>
          </w:p>
        </w:tc>
        <w:tc>
          <w:tcPr>
            <w:tcW w:w="1361" w:type="dxa"/>
            <w:vAlign w:val="center"/>
          </w:tcPr>
          <w:p>
            <w:pPr>
              <w:pStyle w:val="13"/>
            </w:pPr>
            <w:r>
              <w:t>311.13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2049902</w:t>
            </w:r>
          </w:p>
        </w:tc>
        <w:tc>
          <w:tcPr>
            <w:tcW w:w="4535" w:type="dxa"/>
            <w:vAlign w:val="center"/>
          </w:tcPr>
          <w:p>
            <w:pPr>
              <w:pStyle w:val="14"/>
            </w:pPr>
            <w:r>
              <w:t>国家司法救助支出</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2049999</w:t>
            </w:r>
          </w:p>
        </w:tc>
        <w:tc>
          <w:tcPr>
            <w:tcW w:w="4535" w:type="dxa"/>
            <w:vAlign w:val="center"/>
          </w:tcPr>
          <w:p>
            <w:pPr>
              <w:pStyle w:val="14"/>
            </w:pPr>
            <w:r>
              <w:t>其他公共安全支出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1393.99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1544.12</w:t>
            </w:r>
          </w:p>
        </w:tc>
        <w:tc>
          <w:tcPr>
            <w:tcW w:w="1474" w:type="dxa"/>
            <w:vAlign w:val="center"/>
          </w:tcPr>
          <w:p>
            <w:pPr>
              <w:pStyle w:val="13"/>
            </w:pPr>
            <w:r>
              <w:t>1544.12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1393.99</w:t>
            </w:r>
          </w:p>
        </w:tc>
        <w:tc>
          <w:tcPr>
            <w:tcW w:w="3402" w:type="dxa"/>
            <w:vAlign w:val="center"/>
          </w:tcPr>
          <w:p>
            <w:pPr>
              <w:pStyle w:val="16"/>
            </w:pPr>
            <w:r>
              <w:t>本年支出合计</w:t>
            </w:r>
          </w:p>
        </w:tc>
        <w:tc>
          <w:tcPr>
            <w:tcW w:w="1474" w:type="dxa"/>
            <w:vAlign w:val="center"/>
          </w:tcPr>
          <w:p>
            <w:pPr>
              <w:pStyle w:val="17"/>
            </w:pPr>
            <w:r>
              <w:t>1544.12</w:t>
            </w:r>
          </w:p>
        </w:tc>
        <w:tc>
          <w:tcPr>
            <w:tcW w:w="1474" w:type="dxa"/>
            <w:vAlign w:val="center"/>
          </w:tcPr>
          <w:p>
            <w:pPr>
              <w:pStyle w:val="17"/>
            </w:pPr>
            <w:r>
              <w:t>1544.12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150.13</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150.13</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1544.12</w:t>
            </w:r>
          </w:p>
        </w:tc>
        <w:tc>
          <w:tcPr>
            <w:tcW w:w="3402" w:type="dxa"/>
            <w:vAlign w:val="center"/>
          </w:tcPr>
          <w:p>
            <w:pPr>
              <w:pStyle w:val="16"/>
            </w:pPr>
            <w:r>
              <w:t>支出总计</w:t>
            </w:r>
          </w:p>
        </w:tc>
        <w:tc>
          <w:tcPr>
            <w:tcW w:w="1474" w:type="dxa"/>
            <w:vAlign w:val="center"/>
          </w:tcPr>
          <w:p>
            <w:pPr>
              <w:pStyle w:val="17"/>
            </w:pPr>
            <w:r>
              <w:t>1544.12</w:t>
            </w:r>
          </w:p>
        </w:tc>
        <w:tc>
          <w:tcPr>
            <w:tcW w:w="1474" w:type="dxa"/>
            <w:vAlign w:val="center"/>
          </w:tcPr>
          <w:p>
            <w:pPr>
              <w:pStyle w:val="17"/>
            </w:pPr>
            <w:r>
              <w:t>1544.12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1544.12</w:t>
            </w:r>
          </w:p>
        </w:tc>
        <w:tc>
          <w:tcPr>
            <w:tcW w:w="2551" w:type="dxa"/>
            <w:vAlign w:val="center"/>
          </w:tcPr>
          <w:p>
            <w:pPr>
              <w:pStyle w:val="17"/>
            </w:pPr>
            <w:r>
              <w:t>1163.99</w:t>
            </w:r>
          </w:p>
        </w:tc>
        <w:tc>
          <w:tcPr>
            <w:tcW w:w="2551" w:type="dxa"/>
            <w:vAlign w:val="center"/>
          </w:tcPr>
          <w:p>
            <w:pPr>
              <w:pStyle w:val="17"/>
            </w:pPr>
            <w:r>
              <w:t>380.13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1544.12</w:t>
            </w:r>
          </w:p>
        </w:tc>
        <w:tc>
          <w:tcPr>
            <w:tcW w:w="2551" w:type="dxa"/>
            <w:vAlign w:val="center"/>
          </w:tcPr>
          <w:p>
            <w:pPr>
              <w:pStyle w:val="13"/>
            </w:pPr>
            <w:r>
              <w:t>1163.99</w:t>
            </w:r>
          </w:p>
        </w:tc>
        <w:tc>
          <w:tcPr>
            <w:tcW w:w="2551" w:type="dxa"/>
            <w:vAlign w:val="center"/>
          </w:tcPr>
          <w:p>
            <w:pPr>
              <w:pStyle w:val="13"/>
            </w:pPr>
            <w:r>
              <w:t>380.13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1510.12</w:t>
            </w:r>
          </w:p>
        </w:tc>
        <w:tc>
          <w:tcPr>
            <w:tcW w:w="2551" w:type="dxa"/>
            <w:vAlign w:val="center"/>
          </w:tcPr>
          <w:p>
            <w:pPr>
              <w:pStyle w:val="13"/>
            </w:pPr>
            <w:r>
              <w:t>1163.99</w:t>
            </w:r>
          </w:p>
        </w:tc>
        <w:tc>
          <w:tcPr>
            <w:tcW w:w="2551" w:type="dxa"/>
            <w:vAlign w:val="center"/>
          </w:tcPr>
          <w:p>
            <w:pPr>
              <w:pStyle w:val="13"/>
            </w:pPr>
            <w:r>
              <w:t>346.13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1163.99</w:t>
            </w:r>
          </w:p>
        </w:tc>
        <w:tc>
          <w:tcPr>
            <w:tcW w:w="2551" w:type="dxa"/>
            <w:vAlign w:val="center"/>
          </w:tcPr>
          <w:p>
            <w:pPr>
              <w:pStyle w:val="13"/>
            </w:pPr>
            <w:r>
              <w:t>1163.99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2040402</w:t>
            </w:r>
          </w:p>
        </w:tc>
        <w:tc>
          <w:tcPr>
            <w:tcW w:w="4535" w:type="dxa"/>
            <w:vAlign w:val="center"/>
          </w:tcPr>
          <w:p>
            <w:pPr>
              <w:pStyle w:val="14"/>
            </w:pPr>
            <w:r>
              <w:t>一般行政管理事务</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311.13</w:t>
            </w:r>
          </w:p>
        </w:tc>
        <w:tc>
          <w:tcPr>
            <w:tcW w:w="2551" w:type="dxa"/>
            <w:vAlign w:val="center"/>
          </w:tcPr>
          <w:p>
            <w:pPr>
              <w:pStyle w:val="13"/>
            </w:pPr>
          </w:p>
        </w:tc>
        <w:tc>
          <w:tcPr>
            <w:tcW w:w="2551" w:type="dxa"/>
            <w:vAlign w:val="center"/>
          </w:tcPr>
          <w:p>
            <w:pPr>
              <w:pStyle w:val="13"/>
            </w:pPr>
            <w:r>
              <w:t>311.13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34.00</w:t>
            </w:r>
          </w:p>
        </w:tc>
        <w:tc>
          <w:tcPr>
            <w:tcW w:w="2551" w:type="dxa"/>
            <w:vAlign w:val="center"/>
          </w:tcPr>
          <w:p>
            <w:pPr>
              <w:pStyle w:val="13"/>
            </w:pP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2049902</w:t>
            </w:r>
          </w:p>
        </w:tc>
        <w:tc>
          <w:tcPr>
            <w:tcW w:w="4535" w:type="dxa"/>
            <w:vAlign w:val="center"/>
          </w:tcPr>
          <w:p>
            <w:pPr>
              <w:pStyle w:val="14"/>
            </w:pPr>
            <w:r>
              <w:t>国家司法救助支出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2049999</w:t>
            </w:r>
          </w:p>
        </w:tc>
        <w:tc>
          <w:tcPr>
            <w:tcW w:w="4535" w:type="dxa"/>
            <w:vAlign w:val="center"/>
          </w:tcPr>
          <w:p>
            <w:pPr>
              <w:pStyle w:val="14"/>
            </w:pPr>
            <w:r>
              <w:t>其他公共安全支出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1163.99</w:t>
            </w:r>
          </w:p>
        </w:tc>
        <w:tc>
          <w:tcPr>
            <w:tcW w:w="2551" w:type="dxa"/>
            <w:vAlign w:val="center"/>
          </w:tcPr>
          <w:p>
            <w:pPr>
              <w:pStyle w:val="17"/>
            </w:pPr>
            <w:r>
              <w:t>946.49</w:t>
            </w:r>
          </w:p>
        </w:tc>
        <w:tc>
          <w:tcPr>
            <w:tcW w:w="2551" w:type="dxa"/>
            <w:vAlign w:val="center"/>
          </w:tcPr>
          <w:p>
            <w:pPr>
              <w:pStyle w:val="17"/>
            </w:pPr>
            <w:r>
              <w:t>217.50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814.35</w:t>
            </w:r>
          </w:p>
        </w:tc>
        <w:tc>
          <w:tcPr>
            <w:tcW w:w="2551" w:type="dxa"/>
            <w:vAlign w:val="center"/>
          </w:tcPr>
          <w:p>
            <w:pPr>
              <w:pStyle w:val="13"/>
            </w:pPr>
            <w:r>
              <w:t>814.35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160.98</w:t>
            </w:r>
          </w:p>
        </w:tc>
        <w:tc>
          <w:tcPr>
            <w:tcW w:w="2551" w:type="dxa"/>
            <w:vAlign w:val="center"/>
          </w:tcPr>
          <w:p>
            <w:pPr>
              <w:pStyle w:val="13"/>
            </w:pPr>
            <w:r>
              <w:t>160.98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171.37</w:t>
            </w:r>
          </w:p>
        </w:tc>
        <w:tc>
          <w:tcPr>
            <w:tcW w:w="2551" w:type="dxa"/>
            <w:vAlign w:val="center"/>
          </w:tcPr>
          <w:p>
            <w:pPr>
              <w:pStyle w:val="13"/>
            </w:pPr>
            <w:r>
              <w:t>171.37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183.72</w:t>
            </w:r>
          </w:p>
        </w:tc>
        <w:tc>
          <w:tcPr>
            <w:tcW w:w="2551" w:type="dxa"/>
            <w:vAlign w:val="center"/>
          </w:tcPr>
          <w:p>
            <w:pPr>
              <w:pStyle w:val="13"/>
            </w:pPr>
            <w:r>
              <w:t>183.72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57.95</w:t>
            </w:r>
          </w:p>
        </w:tc>
        <w:tc>
          <w:tcPr>
            <w:tcW w:w="2551" w:type="dxa"/>
            <w:vAlign w:val="center"/>
          </w:tcPr>
          <w:p>
            <w:pPr>
              <w:pStyle w:val="13"/>
            </w:pPr>
            <w:r>
              <w:t>57.95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21.69</w:t>
            </w:r>
          </w:p>
        </w:tc>
        <w:tc>
          <w:tcPr>
            <w:tcW w:w="2551" w:type="dxa"/>
            <w:vAlign w:val="center"/>
          </w:tcPr>
          <w:p>
            <w:pPr>
              <w:pStyle w:val="13"/>
            </w:pPr>
            <w:r>
              <w:t>21.69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35.49</w:t>
            </w:r>
          </w:p>
        </w:tc>
        <w:tc>
          <w:tcPr>
            <w:tcW w:w="2551" w:type="dxa"/>
            <w:vAlign w:val="center"/>
          </w:tcPr>
          <w:p>
            <w:pPr>
              <w:pStyle w:val="13"/>
            </w:pPr>
            <w:r>
              <w:t>35.49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1.45</w:t>
            </w:r>
          </w:p>
        </w:tc>
        <w:tc>
          <w:tcPr>
            <w:tcW w:w="2551" w:type="dxa"/>
            <w:vAlign w:val="center"/>
          </w:tcPr>
          <w:p>
            <w:pPr>
              <w:pStyle w:val="13"/>
            </w:pPr>
            <w:r>
              <w:t>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47.29</w:t>
            </w:r>
          </w:p>
        </w:tc>
        <w:tc>
          <w:tcPr>
            <w:tcW w:w="2551" w:type="dxa"/>
            <w:vAlign w:val="center"/>
          </w:tcPr>
          <w:p>
            <w:pPr>
              <w:pStyle w:val="13"/>
            </w:pPr>
            <w:r>
              <w:t>47.29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134.41</w:t>
            </w:r>
          </w:p>
        </w:tc>
        <w:tc>
          <w:tcPr>
            <w:tcW w:w="2551" w:type="dxa"/>
            <w:vAlign w:val="center"/>
          </w:tcPr>
          <w:p>
            <w:pPr>
              <w:pStyle w:val="13"/>
            </w:pPr>
            <w:r>
              <w:t>134.41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209.15</w:t>
            </w:r>
          </w:p>
        </w:tc>
        <w:tc>
          <w:tcPr>
            <w:tcW w:w="2551" w:type="dxa"/>
            <w:vAlign w:val="center"/>
          </w:tcPr>
          <w:p>
            <w:pPr>
              <w:pStyle w:val="13"/>
            </w:pPr>
          </w:p>
        </w:tc>
        <w:tc>
          <w:tcPr>
            <w:tcW w:w="2551" w:type="dxa"/>
            <w:vAlign w:val="center"/>
          </w:tcPr>
          <w:p>
            <w:pPr>
              <w:pStyle w:val="13"/>
            </w:pPr>
            <w:r>
              <w:t>209.15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116.49</w:t>
            </w:r>
          </w:p>
        </w:tc>
        <w:tc>
          <w:tcPr>
            <w:tcW w:w="2551" w:type="dxa"/>
            <w:vAlign w:val="center"/>
          </w:tcPr>
          <w:p>
            <w:pPr>
              <w:pStyle w:val="13"/>
            </w:pPr>
          </w:p>
        </w:tc>
        <w:tc>
          <w:tcPr>
            <w:tcW w:w="2551" w:type="dxa"/>
            <w:vAlign w:val="center"/>
          </w:tcPr>
          <w:p>
            <w:pPr>
              <w:pStyle w:val="13"/>
            </w:pPr>
            <w:r>
              <w:t>116.49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3.42</w:t>
            </w:r>
          </w:p>
        </w:tc>
        <w:tc>
          <w:tcPr>
            <w:tcW w:w="2551" w:type="dxa"/>
            <w:vAlign w:val="center"/>
          </w:tcPr>
          <w:p>
            <w:pPr>
              <w:pStyle w:val="13"/>
            </w:pPr>
          </w:p>
        </w:tc>
        <w:tc>
          <w:tcPr>
            <w:tcW w:w="2551" w:type="dxa"/>
            <w:vAlign w:val="center"/>
          </w:tcPr>
          <w:p>
            <w:pPr>
              <w:pStyle w:val="13"/>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10.94</w:t>
            </w:r>
          </w:p>
        </w:tc>
        <w:tc>
          <w:tcPr>
            <w:tcW w:w="2551" w:type="dxa"/>
            <w:vAlign w:val="center"/>
          </w:tcPr>
          <w:p>
            <w:pPr>
              <w:pStyle w:val="13"/>
            </w:pPr>
          </w:p>
        </w:tc>
        <w:tc>
          <w:tcPr>
            <w:tcW w:w="2551" w:type="dxa"/>
            <w:vAlign w:val="center"/>
          </w:tcPr>
          <w:p>
            <w:pPr>
              <w:pStyle w:val="13"/>
            </w:pPr>
            <w:r>
              <w:t>10.94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36.65</w:t>
            </w:r>
          </w:p>
        </w:tc>
        <w:tc>
          <w:tcPr>
            <w:tcW w:w="2551" w:type="dxa"/>
            <w:vAlign w:val="center"/>
          </w:tcPr>
          <w:p>
            <w:pPr>
              <w:pStyle w:val="13"/>
            </w:pPr>
          </w:p>
        </w:tc>
        <w:tc>
          <w:tcPr>
            <w:tcW w:w="2551" w:type="dxa"/>
            <w:vAlign w:val="center"/>
          </w:tcPr>
          <w:p>
            <w:pPr>
              <w:pStyle w:val="13"/>
            </w:pPr>
            <w:r>
              <w:t>36.65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1.35</w:t>
            </w:r>
          </w:p>
        </w:tc>
        <w:tc>
          <w:tcPr>
            <w:tcW w:w="2551" w:type="dxa"/>
            <w:vAlign w:val="center"/>
          </w:tcPr>
          <w:p>
            <w:pPr>
              <w:pStyle w:val="13"/>
            </w:pPr>
          </w:p>
        </w:tc>
        <w:tc>
          <w:tcPr>
            <w:tcW w:w="2551"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2.21</w:t>
            </w:r>
          </w:p>
        </w:tc>
        <w:tc>
          <w:tcPr>
            <w:tcW w:w="2551" w:type="dxa"/>
            <w:vAlign w:val="center"/>
          </w:tcPr>
          <w:p>
            <w:pPr>
              <w:pStyle w:val="13"/>
            </w:pPr>
          </w:p>
        </w:tc>
        <w:tc>
          <w:tcPr>
            <w:tcW w:w="2551" w:type="dxa"/>
            <w:vAlign w:val="center"/>
          </w:tcPr>
          <w:p>
            <w:pPr>
              <w:pStyle w:val="13"/>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2.14</w:t>
            </w:r>
          </w:p>
        </w:tc>
        <w:tc>
          <w:tcPr>
            <w:tcW w:w="2551" w:type="dxa"/>
            <w:vAlign w:val="center"/>
          </w:tcPr>
          <w:p>
            <w:pPr>
              <w:pStyle w:val="13"/>
            </w:pPr>
          </w:p>
        </w:tc>
        <w:tc>
          <w:tcPr>
            <w:tcW w:w="2551" w:type="dxa"/>
            <w:vAlign w:val="center"/>
          </w:tcPr>
          <w:p>
            <w:pPr>
              <w:pStyle w:val="13"/>
            </w:pPr>
            <w:r>
              <w:t>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5.02</w:t>
            </w:r>
          </w:p>
        </w:tc>
        <w:tc>
          <w:tcPr>
            <w:tcW w:w="2551" w:type="dxa"/>
            <w:vAlign w:val="center"/>
          </w:tcPr>
          <w:p>
            <w:pPr>
              <w:pStyle w:val="13"/>
            </w:pPr>
          </w:p>
        </w:tc>
        <w:tc>
          <w:tcPr>
            <w:tcW w:w="2551" w:type="dxa"/>
            <w:vAlign w:val="center"/>
          </w:tcPr>
          <w:p>
            <w:pPr>
              <w:pStyle w:val="13"/>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3.68</w:t>
            </w:r>
          </w:p>
        </w:tc>
        <w:tc>
          <w:tcPr>
            <w:tcW w:w="2551" w:type="dxa"/>
            <w:vAlign w:val="center"/>
          </w:tcPr>
          <w:p>
            <w:pPr>
              <w:pStyle w:val="13"/>
            </w:pPr>
          </w:p>
        </w:tc>
        <w:tc>
          <w:tcPr>
            <w:tcW w:w="2551"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5.72</w:t>
            </w:r>
          </w:p>
        </w:tc>
        <w:tc>
          <w:tcPr>
            <w:tcW w:w="2551" w:type="dxa"/>
            <w:vAlign w:val="center"/>
          </w:tcPr>
          <w:p>
            <w:pPr>
              <w:pStyle w:val="13"/>
            </w:pPr>
          </w:p>
        </w:tc>
        <w:tc>
          <w:tcPr>
            <w:tcW w:w="2551" w:type="dxa"/>
            <w:vAlign w:val="center"/>
          </w:tcPr>
          <w:p>
            <w:pPr>
              <w:pStyle w:val="13"/>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18.60</w:t>
            </w:r>
          </w:p>
        </w:tc>
        <w:tc>
          <w:tcPr>
            <w:tcW w:w="2551" w:type="dxa"/>
            <w:vAlign w:val="center"/>
          </w:tcPr>
          <w:p>
            <w:pPr>
              <w:pStyle w:val="13"/>
            </w:pPr>
          </w:p>
        </w:tc>
        <w:tc>
          <w:tcPr>
            <w:tcW w:w="2551" w:type="dxa"/>
            <w:vAlign w:val="center"/>
          </w:tcPr>
          <w:p>
            <w:pPr>
              <w:pStyle w:val="13"/>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1.43</w:t>
            </w:r>
          </w:p>
        </w:tc>
        <w:tc>
          <w:tcPr>
            <w:tcW w:w="2551" w:type="dxa"/>
            <w:vAlign w:val="center"/>
          </w:tcPr>
          <w:p>
            <w:pPr>
              <w:pStyle w:val="13"/>
            </w:pPr>
          </w:p>
        </w:tc>
        <w:tc>
          <w:tcPr>
            <w:tcW w:w="2551"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132.14</w:t>
            </w:r>
          </w:p>
        </w:tc>
        <w:tc>
          <w:tcPr>
            <w:tcW w:w="2551" w:type="dxa"/>
            <w:vAlign w:val="center"/>
          </w:tcPr>
          <w:p>
            <w:pPr>
              <w:pStyle w:val="13"/>
            </w:pPr>
            <w:r>
              <w:t>132.14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130.24</w:t>
            </w:r>
          </w:p>
        </w:tc>
        <w:tc>
          <w:tcPr>
            <w:tcW w:w="2551" w:type="dxa"/>
            <w:vAlign w:val="center"/>
          </w:tcPr>
          <w:p>
            <w:pPr>
              <w:pStyle w:val="13"/>
            </w:pPr>
            <w:r>
              <w:t>130.24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1.60</w:t>
            </w:r>
          </w:p>
        </w:tc>
        <w:tc>
          <w:tcPr>
            <w:tcW w:w="2551" w:type="dxa"/>
            <w:vAlign w:val="center"/>
          </w:tcPr>
          <w:p>
            <w:pPr>
              <w:pStyle w:val="13"/>
            </w:pPr>
            <w:r>
              <w:t>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8.35</w:t>
            </w:r>
          </w:p>
        </w:tc>
        <w:tc>
          <w:tcPr>
            <w:tcW w:w="2551" w:type="dxa"/>
            <w:vAlign w:val="center"/>
          </w:tcPr>
          <w:p>
            <w:pPr>
              <w:pStyle w:val="13"/>
            </w:pPr>
          </w:p>
        </w:tc>
        <w:tc>
          <w:tcPr>
            <w:tcW w:w="2551" w:type="dxa"/>
            <w:vAlign w:val="center"/>
          </w:tcPr>
          <w:p>
            <w:pPr>
              <w:pStyle w:val="13"/>
            </w:pPr>
            <w:r>
              <w:t>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8.35</w:t>
            </w:r>
          </w:p>
        </w:tc>
        <w:tc>
          <w:tcPr>
            <w:tcW w:w="2551" w:type="dxa"/>
            <w:vAlign w:val="center"/>
          </w:tcPr>
          <w:p>
            <w:pPr>
              <w:pStyle w:val="13"/>
            </w:pPr>
          </w:p>
        </w:tc>
        <w:tc>
          <w:tcPr>
            <w:tcW w:w="2551" w:type="dxa"/>
            <w:vAlign w:val="center"/>
          </w:tcPr>
          <w:p>
            <w:pPr>
              <w:pStyle w:val="13"/>
            </w:pPr>
            <w:r>
              <w:t>8.35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28.86</w:t>
            </w:r>
          </w:p>
        </w:tc>
        <w:tc>
          <w:tcPr>
            <w:tcW w:w="2381" w:type="dxa"/>
            <w:vAlign w:val="center"/>
          </w:tcPr>
          <w:p>
            <w:pPr>
              <w:pStyle w:val="17"/>
            </w:pPr>
            <w:r>
              <w:t>28.86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28.86</w:t>
            </w:r>
          </w:p>
        </w:tc>
        <w:tc>
          <w:tcPr>
            <w:tcW w:w="2381" w:type="dxa"/>
            <w:vAlign w:val="center"/>
          </w:tcPr>
          <w:p>
            <w:pPr>
              <w:pStyle w:val="13"/>
            </w:pPr>
            <w:r>
              <w:t>28.86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26.72</w:t>
            </w:r>
          </w:p>
        </w:tc>
        <w:tc>
          <w:tcPr>
            <w:tcW w:w="2381" w:type="dxa"/>
            <w:vAlign w:val="center"/>
          </w:tcPr>
          <w:p>
            <w:pPr>
              <w:pStyle w:val="13"/>
            </w:pPr>
            <w:r>
              <w:t>26.72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26.72</w:t>
            </w:r>
          </w:p>
        </w:tc>
        <w:tc>
          <w:tcPr>
            <w:tcW w:w="2381" w:type="dxa"/>
            <w:vAlign w:val="center"/>
          </w:tcPr>
          <w:p>
            <w:pPr>
              <w:pStyle w:val="13"/>
            </w:pPr>
            <w:r>
              <w:t>26.72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2.14</w:t>
            </w:r>
          </w:p>
        </w:tc>
        <w:tc>
          <w:tcPr>
            <w:tcW w:w="2381" w:type="dxa"/>
            <w:vAlign w:val="center"/>
          </w:tcPr>
          <w:p>
            <w:pPr>
              <w:pStyle w:val="13"/>
            </w:pPr>
            <w:r>
              <w:t>2.14</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沧州市新华区人民检察院本级2024年单位预算信息公开情况说明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按照《中华人民共和国预算法》、《地方预决算公开操作规程》和《关于进一步推进预算公开工作的实施意见》规定，现将沧州市新华区人民检察院本级2024年单位预算公开如下：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4"/>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9"/>
      </w:pPr>
      <w:r>
        <w:rPr>
          <w:rFonts w:hint="eastAsia"/>
        </w:rPr>
        <w:t>（一）深入贯彻习近平新时代中国特色社会主义思想，深入贯彻党的路线方针和决策部署，坚持党对检察工作的绝对领导，坚持维护习近平总书记的核心地位，坚决维护党中央权威和集中统一领导。</w:t>
      </w:r>
    </w:p>
    <w:p>
      <w:pPr>
        <w:pStyle w:val="19"/>
      </w:pPr>
      <w:r>
        <w:rPr>
          <w:rFonts w:hint="eastAsia"/>
        </w:rPr>
        <w:t>（二）依法向区人民代表大会及其常委会提出议案，贯彻落实检察工作方针，总体规划、研究制定检察工作计划并组织实施。</w:t>
      </w:r>
    </w:p>
    <w:p>
      <w:pPr>
        <w:pStyle w:val="19"/>
      </w:pPr>
      <w:r>
        <w:rPr>
          <w:rFonts w:hint="eastAsia"/>
        </w:rPr>
        <w:t>（三）贯彻落实检察工作，总体规划、研究制定检察工作计划组织实施。</w:t>
      </w:r>
    </w:p>
    <w:p>
      <w:pPr>
        <w:pStyle w:val="19"/>
      </w:pPr>
      <w:r>
        <w:rPr>
          <w:rFonts w:hint="eastAsia"/>
        </w:rPr>
        <w:t>（四）依照法律规定对直接受理的刑事案件行使侦查权。</w:t>
      </w:r>
    </w:p>
    <w:p>
      <w:pPr>
        <w:pStyle w:val="19"/>
      </w:pPr>
      <w:r>
        <w:rPr>
          <w:rFonts w:hint="eastAsia"/>
        </w:rPr>
        <w:t>（五）依照法律规定对直接受理的刑事案件依法审查批准逮捕、提前公诉。</w:t>
      </w:r>
    </w:p>
    <w:p>
      <w:pPr>
        <w:pStyle w:val="19"/>
      </w:pPr>
      <w:r>
        <w:rPr>
          <w:rFonts w:hint="eastAsia"/>
        </w:rPr>
        <w:t>（六）负责应由本院承办的刑事、民事、行政诉讼活动及民事、行政判决和裁定等生效法律文书执行的法律监督工作。</w:t>
      </w:r>
    </w:p>
    <w:p>
      <w:pPr>
        <w:pStyle w:val="19"/>
      </w:pPr>
      <w:r>
        <w:rPr>
          <w:rFonts w:hint="eastAsia"/>
        </w:rPr>
        <w:t>（七）负责本院承办的提起公益诉讼工作。</w:t>
      </w:r>
    </w:p>
    <w:p>
      <w:pPr>
        <w:pStyle w:val="19"/>
      </w:pPr>
      <w:r>
        <w:rPr>
          <w:rFonts w:hint="eastAsia"/>
        </w:rPr>
        <w:t>（八）依法受理核准追诉案件，审查是否上报。</w:t>
      </w:r>
    </w:p>
    <w:p>
      <w:pPr>
        <w:pStyle w:val="19"/>
      </w:pPr>
      <w:r>
        <w:rPr>
          <w:rFonts w:hint="eastAsia"/>
        </w:rPr>
        <w:t>（九）负责由本院承办的对社区矫正等执法活动的法律监督工作。</w:t>
      </w:r>
    </w:p>
    <w:p>
      <w:pPr>
        <w:pStyle w:val="19"/>
      </w:pPr>
      <w:r>
        <w:rPr>
          <w:rFonts w:hint="eastAsia"/>
        </w:rPr>
        <w:t>（十）受理本院控告申诉。</w:t>
      </w:r>
    </w:p>
    <w:p>
      <w:pPr>
        <w:pStyle w:val="19"/>
      </w:pPr>
      <w:r>
        <w:rPr>
          <w:rFonts w:hint="eastAsia"/>
        </w:rPr>
        <w:t>（十一）组织检察工作中法律政策具体应用问题的研究，组织开展检察理论权限管理和其他工作人员。</w:t>
      </w:r>
    </w:p>
    <w:p>
      <w:pPr>
        <w:pStyle w:val="19"/>
      </w:pPr>
      <w:r>
        <w:rPr>
          <w:rFonts w:hint="eastAsia"/>
        </w:rPr>
        <w:t>（十二）负责本院检务督察工作</w:t>
      </w:r>
    </w:p>
    <w:p>
      <w:pPr>
        <w:pStyle w:val="19"/>
      </w:pPr>
      <w:r>
        <w:rPr>
          <w:rFonts w:hint="eastAsia"/>
        </w:rPr>
        <w:t>（十三）负责本院检务保障以及检察技术、信息化建设工作</w:t>
      </w:r>
    </w:p>
    <w:p>
      <w:pPr>
        <w:pStyle w:val="19"/>
      </w:pPr>
      <w:r>
        <w:rPr>
          <w:rFonts w:hint="eastAsia"/>
        </w:rPr>
        <w:t>（十四）完成其他应当本院负责的工作</w:t>
      </w:r>
    </w:p>
    <w:p>
      <w:pPr>
        <w:ind w:firstLine="640"/>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沧州市新华区人民检察院本级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1、收入说明</w:t>
      </w:r>
    </w:p>
    <w:p>
      <w:pPr>
        <w:pStyle w:val="20"/>
      </w:pPr>
      <w:r>
        <w:t>反映本单位当年全部收入。2024年预算收入1544.12元，其中：一般公共预算收入1393.99万元，基金预算收入0万元，国有资本经营预算收入0万元，财政专户核拨收入0万元，单位资金收入0万元，上年结转结余150.13万元。</w:t>
      </w:r>
    </w:p>
    <w:p>
      <w:pPr>
        <w:pStyle w:val="20"/>
      </w:pPr>
      <w:r>
        <w:t>2、支出说明</w:t>
      </w:r>
    </w:p>
    <w:p>
      <w:pPr>
        <w:pStyle w:val="25"/>
      </w:pPr>
      <w:r>
        <w:t>收支预算总表支出栏、基本支出表、项目支出表按经济分类和支出功能分类科目编制，反映本单位年度单位预算中支出预算的总体情况。2024年支出预算1544.12万元，其中基本支出1163.99万元，包括人员经费946.49万元和日常公用经费217.50万元；项目支出380.13万元，主要为档案升级改造</w:t>
      </w:r>
      <w:r>
        <w:rPr>
          <w:rFonts w:hint="eastAsia"/>
          <w:lang w:eastAsia="zh-CN"/>
        </w:rPr>
        <w:t>项目</w:t>
      </w:r>
      <w:r>
        <w:t>等。</w:t>
      </w:r>
    </w:p>
    <w:p>
      <w:pPr>
        <w:pStyle w:val="20"/>
      </w:pPr>
    </w:p>
    <w:p>
      <w:pPr>
        <w:pStyle w:val="20"/>
      </w:pPr>
      <w:r>
        <w:t>3、比上年增减情况</w:t>
      </w:r>
    </w:p>
    <w:p>
      <w:pPr>
        <w:pStyle w:val="25"/>
        <w:rPr>
          <w:lang w:eastAsia="zh-CN"/>
        </w:rPr>
      </w:pPr>
      <w:r>
        <w:t>2024年预算收支安排1544.12万元，较2023年预算增加257.48   万元，其中：基本支出增加120.35 万元，主要为新招录6名公务员的人员经费的增加；项目支出增加137.13万元，主要为</w:t>
      </w:r>
      <w:r>
        <w:rPr>
          <w:rFonts w:hint="eastAsia"/>
          <w:lang w:eastAsia="zh-CN"/>
        </w:rPr>
        <w:t>档案升级项目增加项目等。</w:t>
      </w:r>
    </w:p>
    <w:p>
      <w:pPr>
        <w:spacing w:before="10" w:after="10"/>
        <w:ind w:firstLine="640" w:firstLineChars="200"/>
        <w:outlineLvl w:val="5"/>
      </w:pPr>
      <w:r>
        <w:rPr>
          <w:rFonts w:ascii="黑体" w:hAnsi="黑体" w:eastAsia="黑体" w:cs="黑体"/>
          <w:color w:val="000000"/>
          <w:sz w:val="32"/>
        </w:rPr>
        <w:t>三、机关运行经费安排情况</w:t>
      </w:r>
    </w:p>
    <w:p>
      <w:pPr>
        <w:pStyle w:val="21"/>
      </w:pPr>
      <w:r>
        <w:t>2024年，我单位运行经费共计安排217.50 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2024年，我部门财政拨款“三公”经费预算安排</w:t>
      </w:r>
      <w:r>
        <w:rPr>
          <w:rFonts w:hint="eastAsia"/>
          <w:lang w:eastAsia="zh-CN"/>
        </w:rPr>
        <w:t>28.86</w:t>
      </w:r>
      <w:r>
        <w:t xml:space="preserve">万元，其中因公出国（境）费0万元；公务用车购置及运维费26.72万元（其中：公务用车购置费为0万元，公务用车运维费26.72万元)；公务接待费2.14万元。与2023年相比减少 </w:t>
      </w:r>
      <w:r>
        <w:rPr>
          <w:rFonts w:hint="eastAsia"/>
          <w:lang w:val="en-US" w:eastAsia="zh-CN"/>
        </w:rPr>
        <w:t>8.72</w:t>
      </w:r>
      <w:r>
        <w:t>万元，主要原因是：公务用车运行维护费减少</w:t>
      </w:r>
      <w:r>
        <w:rPr>
          <w:rFonts w:hint="eastAsia"/>
          <w:lang w:eastAsia="zh-CN"/>
        </w:rP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bookmarkStart w:id="1" w:name="_GoBack"/>
      <w:bookmarkEnd w:id="1"/>
    </w:p>
    <w:p>
      <w:pPr>
        <w:spacing w:before="10" w:after="10"/>
        <w:outlineLvl w:val="5"/>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1、档案室升级改造绩效目标表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13090024P00010510001G</w:t>
            </w:r>
          </w:p>
        </w:tc>
        <w:tc>
          <w:tcPr>
            <w:tcW w:w="2835" w:type="dxa"/>
            <w:vAlign w:val="center"/>
          </w:tcPr>
          <w:p>
            <w:pPr>
              <w:pStyle w:val="12"/>
            </w:pPr>
            <w:r>
              <w:t>项目名称</w:t>
            </w:r>
          </w:p>
        </w:tc>
        <w:tc>
          <w:tcPr>
            <w:tcW w:w="6094" w:type="dxa"/>
            <w:gridSpan w:val="3"/>
            <w:vAlign w:val="center"/>
          </w:tcPr>
          <w:p>
            <w:pPr>
              <w:pStyle w:val="14"/>
            </w:pPr>
            <w:r>
              <w:t>档案室升级改造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档案室升级改造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10.00</w:t>
            </w:r>
          </w:p>
        </w:tc>
        <w:tc>
          <w:tcPr>
            <w:tcW w:w="2551" w:type="dxa"/>
            <w:vAlign w:val="center"/>
          </w:tcPr>
          <w:p>
            <w:pPr>
              <w:pStyle w:val="15"/>
            </w:pPr>
            <w:r>
              <w:t>10.00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1.档案室升级改造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服务器采购数量</w:t>
            </w:r>
          </w:p>
        </w:tc>
        <w:tc>
          <w:tcPr>
            <w:tcW w:w="5386" w:type="dxa"/>
            <w:vAlign w:val="center"/>
          </w:tcPr>
          <w:p>
            <w:pPr>
              <w:pStyle w:val="14"/>
            </w:pPr>
            <w:r>
              <w:t>服务器采购数量</w:t>
            </w:r>
          </w:p>
        </w:tc>
        <w:tc>
          <w:tcPr>
            <w:tcW w:w="2268" w:type="dxa"/>
            <w:vAlign w:val="center"/>
          </w:tcPr>
          <w:p>
            <w:pPr>
              <w:pStyle w:val="14"/>
            </w:pPr>
            <w:r>
              <w:t>≥1台</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系统验收合格率</w:t>
            </w:r>
          </w:p>
        </w:tc>
        <w:tc>
          <w:tcPr>
            <w:tcW w:w="5386" w:type="dxa"/>
            <w:vAlign w:val="center"/>
          </w:tcPr>
          <w:p>
            <w:pPr>
              <w:pStyle w:val="14"/>
            </w:pPr>
            <w:r>
              <w:t>系统验收合格率</w:t>
            </w:r>
          </w:p>
        </w:tc>
        <w:tc>
          <w:tcPr>
            <w:tcW w:w="2268" w:type="dxa"/>
            <w:vAlign w:val="center"/>
          </w:tcPr>
          <w:p>
            <w:pPr>
              <w:pStyle w:val="14"/>
            </w:pPr>
            <w:r>
              <w:t>100百分比</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档案室升级改造完成时间</w:t>
            </w:r>
          </w:p>
        </w:tc>
        <w:tc>
          <w:tcPr>
            <w:tcW w:w="5386" w:type="dxa"/>
            <w:vAlign w:val="center"/>
          </w:tcPr>
          <w:p>
            <w:pPr>
              <w:pStyle w:val="14"/>
            </w:pPr>
            <w:r>
              <w:t>档案室升级改造完成时间</w:t>
            </w:r>
          </w:p>
        </w:tc>
        <w:tc>
          <w:tcPr>
            <w:tcW w:w="2268" w:type="dxa"/>
            <w:vAlign w:val="center"/>
          </w:tcPr>
          <w:p>
            <w:pPr>
              <w:pStyle w:val="14"/>
            </w:pPr>
            <w:r>
              <w:t>2024年完成</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项目预计成本</w:t>
            </w:r>
          </w:p>
        </w:tc>
        <w:tc>
          <w:tcPr>
            <w:tcW w:w="5386" w:type="dxa"/>
            <w:vAlign w:val="center"/>
          </w:tcPr>
          <w:p>
            <w:pPr>
              <w:pStyle w:val="14"/>
            </w:pPr>
            <w:r>
              <w:t>项目预计成本</w:t>
            </w:r>
          </w:p>
        </w:tc>
        <w:tc>
          <w:tcPr>
            <w:tcW w:w="2268" w:type="dxa"/>
            <w:vAlign w:val="center"/>
          </w:tcPr>
          <w:p>
            <w:pPr>
              <w:pStyle w:val="14"/>
            </w:pPr>
            <w:r>
              <w:t>≤35万元</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档案室网络的安全防护能力</w:t>
            </w:r>
          </w:p>
        </w:tc>
        <w:tc>
          <w:tcPr>
            <w:tcW w:w="5386" w:type="dxa"/>
            <w:vAlign w:val="center"/>
          </w:tcPr>
          <w:p>
            <w:pPr>
              <w:pStyle w:val="14"/>
            </w:pPr>
            <w:r>
              <w:t>档案室网络的安全防护能力</w:t>
            </w:r>
          </w:p>
        </w:tc>
        <w:tc>
          <w:tcPr>
            <w:tcW w:w="2268" w:type="dxa"/>
            <w:vAlign w:val="center"/>
          </w:tcPr>
          <w:p>
            <w:pPr>
              <w:pStyle w:val="14"/>
            </w:pPr>
            <w:r>
              <w:t>≥95百分比</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档案室的利用情况</w:t>
            </w:r>
          </w:p>
        </w:tc>
        <w:tc>
          <w:tcPr>
            <w:tcW w:w="5386" w:type="dxa"/>
            <w:vAlign w:val="center"/>
          </w:tcPr>
          <w:p>
            <w:pPr>
              <w:pStyle w:val="14"/>
            </w:pPr>
            <w:r>
              <w:t>档案室的利用情况</w:t>
            </w:r>
          </w:p>
        </w:tc>
        <w:tc>
          <w:tcPr>
            <w:tcW w:w="2268" w:type="dxa"/>
            <w:vAlign w:val="center"/>
          </w:tcPr>
          <w:p>
            <w:pPr>
              <w:pStyle w:val="14"/>
            </w:pPr>
            <w:r>
              <w:t>≥1500人次</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档案室信息化系统的稳定性</w:t>
            </w:r>
          </w:p>
        </w:tc>
        <w:tc>
          <w:tcPr>
            <w:tcW w:w="5386" w:type="dxa"/>
            <w:vAlign w:val="center"/>
          </w:tcPr>
          <w:p>
            <w:pPr>
              <w:pStyle w:val="14"/>
            </w:pPr>
            <w:r>
              <w:t>信息化的稳定性</w:t>
            </w:r>
          </w:p>
        </w:tc>
        <w:tc>
          <w:tcPr>
            <w:tcW w:w="2268" w:type="dxa"/>
            <w:vAlign w:val="center"/>
          </w:tcPr>
          <w:p>
            <w:pPr>
              <w:pStyle w:val="14"/>
            </w:pPr>
            <w:r>
              <w:t>显著提升</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系统正常使用的年限</w:t>
            </w:r>
          </w:p>
        </w:tc>
        <w:tc>
          <w:tcPr>
            <w:tcW w:w="5386" w:type="dxa"/>
            <w:vAlign w:val="center"/>
          </w:tcPr>
          <w:p>
            <w:pPr>
              <w:pStyle w:val="14"/>
            </w:pPr>
            <w:r>
              <w:t>使用的年限</w:t>
            </w:r>
          </w:p>
        </w:tc>
        <w:tc>
          <w:tcPr>
            <w:tcW w:w="2268" w:type="dxa"/>
            <w:vAlign w:val="center"/>
          </w:tcPr>
          <w:p>
            <w:pPr>
              <w:pStyle w:val="14"/>
            </w:pPr>
            <w:r>
              <w:t>≥5年</w:t>
            </w:r>
          </w:p>
        </w:tc>
        <w:tc>
          <w:tcPr>
            <w:tcW w:w="1276" w:type="dxa"/>
            <w:vAlign w:val="center"/>
          </w:tcPr>
          <w:p>
            <w:pPr>
              <w:pStyle w:val="14"/>
            </w:pPr>
            <w:r>
              <w:t>河北省机关档案工作目标管理认定办法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使用人员对档案室的满意度</w:t>
            </w:r>
          </w:p>
        </w:tc>
        <w:tc>
          <w:tcPr>
            <w:tcW w:w="5386" w:type="dxa"/>
            <w:vAlign w:val="center"/>
          </w:tcPr>
          <w:p>
            <w:pPr>
              <w:pStyle w:val="14"/>
            </w:pPr>
            <w:r>
              <w:t>使用人员的满意度</w:t>
            </w:r>
          </w:p>
        </w:tc>
        <w:tc>
          <w:tcPr>
            <w:tcW w:w="2268" w:type="dxa"/>
            <w:vAlign w:val="center"/>
          </w:tcPr>
          <w:p>
            <w:pPr>
              <w:pStyle w:val="14"/>
            </w:pPr>
            <w:r>
              <w:t>≥95百分比</w:t>
            </w:r>
          </w:p>
        </w:tc>
        <w:tc>
          <w:tcPr>
            <w:tcW w:w="1276" w:type="dxa"/>
            <w:vAlign w:val="center"/>
          </w:tcPr>
          <w:p>
            <w:pPr>
              <w:pStyle w:val="14"/>
            </w:pPr>
            <w:r>
              <w:t>河北省机关档案工作目标管理认定办法</w:t>
            </w:r>
          </w:p>
        </w:tc>
      </w:tr>
    </w:tbl>
    <w:p/>
    <w:p/>
    <w:p/>
    <w:p/>
    <w:p>
      <w:pPr>
        <w:ind w:firstLine="560" w:firstLineChars="200"/>
        <w:rPr>
          <w:rFonts w:ascii="方正仿宋_GBK" w:hAnsi="方正仿宋_GBK" w:eastAsia="方正仿宋_GBK" w:cs="方正仿宋_GBK"/>
          <w:color w:val="000000"/>
          <w:sz w:val="28"/>
          <w:szCs w:val="28"/>
        </w:rPr>
      </w:pPr>
    </w:p>
    <w:p>
      <w:pPr>
        <w:ind w:firstLine="560" w:firstLineChars="200"/>
        <w:rPr>
          <w:rFonts w:ascii="方正仿宋_GBK" w:hAnsi="方正仿宋_GBK" w:eastAsia="方正仿宋_GBK" w:cs="方正仿宋_GBK"/>
          <w:color w:val="000000"/>
          <w:sz w:val="28"/>
          <w:szCs w:val="28"/>
        </w:rPr>
      </w:pPr>
    </w:p>
    <w:p>
      <w:pPr>
        <w:ind w:firstLine="560" w:firstLineChars="200"/>
        <w:rPr>
          <w:rFonts w:ascii="方正仿宋_GBK" w:hAnsi="方正仿宋_GBK" w:eastAsia="方正仿宋_GBK" w:cs="方正仿宋_GBK"/>
          <w:color w:val="000000"/>
          <w:sz w:val="28"/>
          <w:szCs w:val="28"/>
        </w:rPr>
      </w:pPr>
    </w:p>
    <w:p>
      <w:pPr>
        <w:ind w:firstLine="560" w:firstLineChars="2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2023年新华区检察院政法部门业务装备专项经费绩效目标</w:t>
      </w:r>
      <w:r>
        <w:rPr>
          <w:rFonts w:hint="eastAsia" w:ascii="方正仿宋_GBK" w:hAnsi="方正仿宋_GBK" w:eastAsia="方正仿宋_GBK" w:cs="方正仿宋_GBK"/>
          <w:color w:val="000000"/>
          <w:sz w:val="28"/>
          <w:szCs w:val="28"/>
          <w:lang w:eastAsia="zh-CN"/>
        </w:rPr>
        <w:t>表</w:t>
      </w:r>
    </w:p>
    <w:p>
      <w:pPr>
        <w:ind w:firstLine="1120" w:firstLineChars="4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依沧市财政法（2023）189号文件规定不予公开</w:t>
      </w: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p>
    <w:p>
      <w:pPr>
        <w:ind w:firstLine="932" w:firstLineChars="333"/>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3、</w:t>
      </w:r>
      <w:r>
        <w:rPr>
          <w:rFonts w:hint="eastAsia" w:ascii="方正仿宋_GBK" w:hAnsi="方正仿宋_GBK" w:eastAsia="方正仿宋_GBK" w:cs="方正仿宋_GBK"/>
          <w:color w:val="000000"/>
          <w:sz w:val="28"/>
          <w:szCs w:val="28"/>
        </w:rPr>
        <w:t>沧州市新华检察院第二批政法转移支付扫黑经费绩效目标</w:t>
      </w:r>
      <w:r>
        <w:rPr>
          <w:rFonts w:hint="eastAsia" w:ascii="方正仿宋_GBK" w:hAnsi="方正仿宋_GBK" w:eastAsia="方正仿宋_GBK" w:cs="方正仿宋_GBK"/>
          <w:color w:val="000000"/>
          <w:sz w:val="28"/>
          <w:szCs w:val="28"/>
          <w:lang w:eastAsia="zh-CN"/>
        </w:rPr>
        <w:t>表</w:t>
      </w:r>
    </w:p>
    <w:p>
      <w:pPr>
        <w:ind w:firstLine="1120" w:firstLineChars="4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依沧市财政法（2023）163号文件规定不予公开</w:t>
      </w: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4、</w:t>
      </w:r>
      <w:r>
        <w:rPr>
          <w:rFonts w:hint="eastAsia" w:ascii="方正仿宋_GBK" w:hAnsi="方正仿宋_GBK" w:eastAsia="方正仿宋_GBK" w:cs="方正仿宋_GBK"/>
          <w:color w:val="000000"/>
          <w:sz w:val="28"/>
          <w:szCs w:val="28"/>
        </w:rPr>
        <w:t>新华区检察院2023年第二批政法转移支付资金绩效目标</w:t>
      </w:r>
      <w:r>
        <w:rPr>
          <w:rFonts w:hint="eastAsia" w:ascii="方正仿宋_GBK" w:hAnsi="方正仿宋_GBK" w:eastAsia="方正仿宋_GBK" w:cs="方正仿宋_GBK"/>
          <w:sz w:val="28"/>
          <w:szCs w:val="28"/>
          <w:lang w:eastAsia="zh-CN"/>
        </w:rPr>
        <w:t>表</w:t>
      </w:r>
    </w:p>
    <w:p>
      <w:pPr>
        <w:ind w:firstLine="840" w:firstLineChars="3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依沧市财政法【2023】134号文件规定不予公开</w:t>
      </w:r>
    </w:p>
    <w:p>
      <w:pPr>
        <w:ind w:firstLine="56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eastAsia="zh-CN"/>
        </w:rPr>
        <w:t>5、</w:t>
      </w:r>
      <w:r>
        <w:rPr>
          <w:rFonts w:ascii="方正仿宋_GBK" w:hAnsi="方正仿宋_GBK" w:eastAsia="方正仿宋_GBK" w:cs="方正仿宋_GBK"/>
          <w:color w:val="000000"/>
          <w:sz w:val="28"/>
        </w:rPr>
        <w:t>新华区检察院2023年省级转移支付资金绩效目标表</w:t>
      </w:r>
    </w:p>
    <w:p>
      <w:pPr>
        <w:ind w:firstLine="1120" w:firstLineChars="4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依沧市财政法【2023】114号文件规定不予公开</w:t>
      </w:r>
    </w:p>
    <w:p>
      <w:pPr>
        <w:ind w:firstLine="56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p>
    <w:p>
      <w:pPr>
        <w:ind w:firstLine="560" w:firstLineChars="2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6、</w:t>
      </w:r>
      <w:r>
        <w:rPr>
          <w:rFonts w:hint="eastAsia" w:ascii="方正仿宋_GBK" w:hAnsi="方正仿宋_GBK" w:eastAsia="方正仿宋_GBK" w:cs="方正仿宋_GBK"/>
          <w:color w:val="000000"/>
          <w:sz w:val="28"/>
          <w:szCs w:val="28"/>
        </w:rPr>
        <w:t>新华区检察院2023年中央转移支付绩效目标</w:t>
      </w:r>
      <w:r>
        <w:rPr>
          <w:rFonts w:hint="eastAsia" w:ascii="方正仿宋_GBK" w:hAnsi="方正仿宋_GBK" w:eastAsia="方正仿宋_GBK" w:cs="方正仿宋_GBK"/>
          <w:color w:val="000000"/>
          <w:sz w:val="28"/>
          <w:szCs w:val="28"/>
          <w:lang w:eastAsia="zh-CN"/>
        </w:rPr>
        <w:t>表</w:t>
      </w:r>
    </w:p>
    <w:p>
      <w:pPr>
        <w:ind w:left="480" w:leftChars="200" w:firstLine="280" w:firstLineChars="1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依沧市财政法【2022】113号文件规定不予公开</w:t>
      </w: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7、</w:t>
      </w:r>
      <w:r>
        <w:rPr>
          <w:rFonts w:hint="eastAsia" w:ascii="方正仿宋_GBK" w:hAnsi="方正仿宋_GBK" w:eastAsia="方正仿宋_GBK" w:cs="方正仿宋_GBK"/>
          <w:color w:val="000000"/>
          <w:sz w:val="28"/>
          <w:szCs w:val="28"/>
        </w:rPr>
        <w:t>新华区检察院2024年省级政法转移支付资金绩效目标</w:t>
      </w:r>
      <w:r>
        <w:rPr>
          <w:rFonts w:hint="eastAsia" w:ascii="方正仿宋_GBK" w:hAnsi="方正仿宋_GBK" w:eastAsia="方正仿宋_GBK" w:cs="方正仿宋_GBK"/>
          <w:color w:val="000000"/>
          <w:sz w:val="28"/>
          <w:szCs w:val="28"/>
          <w:lang w:eastAsia="zh-CN"/>
        </w:rPr>
        <w:t>表</w:t>
      </w:r>
    </w:p>
    <w:p>
      <w:pPr>
        <w:ind w:firstLine="1120" w:firstLineChars="4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依沧市财政法【2023】228号文件规定不予公开</w:t>
      </w: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p>
    <w:p>
      <w:pPr>
        <w:ind w:left="72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8、</w:t>
      </w:r>
      <w:r>
        <w:rPr>
          <w:rFonts w:hint="eastAsia" w:ascii="方正仿宋_GBK" w:hAnsi="方正仿宋_GBK" w:eastAsia="方正仿宋_GBK" w:cs="方正仿宋_GBK"/>
          <w:color w:val="000000"/>
          <w:sz w:val="28"/>
          <w:szCs w:val="28"/>
        </w:rPr>
        <w:t>新华区检察院2024年省级政法转移支付资金绩效目标</w:t>
      </w:r>
      <w:r>
        <w:rPr>
          <w:rFonts w:hint="eastAsia" w:ascii="方正仿宋_GBK" w:hAnsi="方正仿宋_GBK" w:eastAsia="方正仿宋_GBK" w:cs="方正仿宋_GBK"/>
          <w:color w:val="000000"/>
          <w:sz w:val="28"/>
          <w:szCs w:val="28"/>
          <w:lang w:eastAsia="zh-CN"/>
        </w:rPr>
        <w:t>表</w:t>
      </w:r>
    </w:p>
    <w:p>
      <w:pPr>
        <w:ind w:left="480" w:leftChars="200" w:firstLine="280" w:firstLineChars="1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依沧市财政法【2023】227号文件规定不予公开</w:t>
      </w: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p>
    <w:p>
      <w:pPr>
        <w:ind w:firstLine="56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9、</w:t>
      </w:r>
      <w:r>
        <w:rPr>
          <w:rFonts w:hint="eastAsia" w:ascii="方正仿宋_GBK" w:hAnsi="方正仿宋_GBK" w:eastAsia="方正仿宋_GBK" w:cs="方正仿宋_GBK"/>
          <w:color w:val="000000"/>
          <w:sz w:val="28"/>
          <w:szCs w:val="28"/>
        </w:rPr>
        <w:t>新华区检察院2024年中央政法纪检监察转移支付资金绩效目标</w:t>
      </w:r>
      <w:r>
        <w:rPr>
          <w:rFonts w:hint="eastAsia" w:ascii="方正仿宋_GBK" w:hAnsi="方正仿宋_GBK" w:eastAsia="方正仿宋_GBK" w:cs="方正仿宋_GBK"/>
          <w:color w:val="000000"/>
          <w:sz w:val="28"/>
          <w:szCs w:val="28"/>
          <w:lang w:eastAsia="zh-CN"/>
        </w:rPr>
        <w:t>表</w:t>
      </w:r>
    </w:p>
    <w:p>
      <w:pPr>
        <w:ind w:firstLine="840" w:firstLineChars="3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依沧市财政法【2023】227号文件规定不予公开</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jc w:val="center"/>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left="480" w:leftChars="200" w:firstLine="280" w:firstLineChars="100"/>
        <w:rPr>
          <w:rFonts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依沧市财政法【2023】227号文件规定涉密不予公开</w:t>
      </w:r>
    </w:p>
    <w:p>
      <w:pPr>
        <w:spacing w:line="500" w:lineRule="exact"/>
        <w:ind w:firstLine="420"/>
        <w:rPr>
          <w:rFonts w:ascii="方正书宋_GBK" w:hAnsi="方正书宋_GBK" w:eastAsia="方正书宋_GBK" w:cs="方正书宋_GBK"/>
          <w:color w:val="000000"/>
          <w:sz w:val="21"/>
        </w:rPr>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沧州市新华区人民检察院本级上年末固定资产金额为</w:t>
      </w:r>
      <w:r>
        <w:rPr>
          <w:rFonts w:hint="eastAsia" w:cs="Times New Roman" w:eastAsiaTheme="minorEastAsia"/>
          <w:color w:val="000000"/>
          <w:sz w:val="28"/>
          <w:lang w:eastAsia="zh-CN"/>
        </w:rPr>
        <w:t>1784.57</w:t>
      </w:r>
      <w:r>
        <w:rPr>
          <w:rFonts w:eastAsia="方正仿宋_GBK" w:cs="Times New Roman"/>
          <w:color w:val="000000"/>
          <w:sz w:val="28"/>
        </w:rPr>
        <w:t>万元（详见下表）。本年度拟购置固定资产总额为</w:t>
      </w:r>
      <w:r>
        <w:rPr>
          <w:rFonts w:hint="eastAsia" w:cs="Times New Roman" w:eastAsiaTheme="minorEastAsia"/>
          <w:color w:val="000000"/>
          <w:sz w:val="28"/>
          <w:lang w:val="en-US" w:eastAsia="zh-CN"/>
        </w:rPr>
        <w:t>0</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198001沧州市新华区人民检察院本级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hint="eastAsia" w:ascii="微软雅黑" w:hAnsi="微软雅黑" w:eastAsia="微软雅黑" w:cs="宋体"/>
              </w:rPr>
              <w:t>资产总额</w:t>
            </w:r>
          </w:p>
        </w:tc>
        <w:tc>
          <w:tcPr>
            <w:tcW w:w="2835" w:type="dxa"/>
            <w:vAlign w:val="center"/>
          </w:tcPr>
          <w:p>
            <w:pPr>
              <w:pStyle w:val="15"/>
              <w:rPr>
                <w:lang w:eastAsia="zh-CN"/>
              </w:rPr>
            </w:pPr>
            <w:r>
              <w:rPr>
                <w:rFonts w:hint="eastAsia"/>
                <w:lang w:eastAsia="zh-CN"/>
              </w:rPr>
              <w:t>1123</w:t>
            </w:r>
          </w:p>
        </w:tc>
        <w:tc>
          <w:tcPr>
            <w:tcW w:w="2835" w:type="dxa"/>
            <w:vAlign w:val="center"/>
          </w:tcPr>
          <w:p>
            <w:pPr>
              <w:pStyle w:val="13"/>
              <w:rPr>
                <w:lang w:eastAsia="zh-CN"/>
              </w:rPr>
            </w:pPr>
            <w:r>
              <w:rPr>
                <w:rFonts w:hint="eastAsia"/>
                <w:lang w:eastAsia="zh-CN"/>
              </w:rPr>
              <w:t>1784.57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1</w:t>
            </w:r>
            <w:r>
              <w:rPr>
                <w:rFonts w:hint="eastAsia" w:ascii="微软雅黑" w:hAnsi="微软雅黑" w:eastAsia="微软雅黑" w:cs="宋体"/>
              </w:rPr>
              <w:t>、房屋（平方米）</w:t>
            </w:r>
          </w:p>
        </w:tc>
        <w:tc>
          <w:tcPr>
            <w:tcW w:w="2835" w:type="dxa"/>
            <w:vAlign w:val="center"/>
          </w:tcPr>
          <w:p>
            <w:pPr>
              <w:pStyle w:val="15"/>
              <w:rPr>
                <w:lang w:eastAsia="zh-CN"/>
              </w:rPr>
            </w:pPr>
            <w:r>
              <w:rPr>
                <w:rFonts w:hint="eastAsia"/>
                <w:lang w:eastAsia="zh-CN"/>
              </w:rPr>
              <w:t>3463.00</w:t>
            </w:r>
          </w:p>
        </w:tc>
        <w:tc>
          <w:tcPr>
            <w:tcW w:w="2835" w:type="dxa"/>
            <w:vAlign w:val="center"/>
          </w:tcPr>
          <w:p>
            <w:pPr>
              <w:pStyle w:val="13"/>
              <w:rPr>
                <w:lang w:eastAsia="zh-CN"/>
              </w:rPr>
            </w:pPr>
            <w:r>
              <w:rPr>
                <w:rFonts w:hint="eastAsia"/>
                <w:lang w:eastAsia="zh-CN"/>
              </w:rPr>
              <w:t>701.92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hint="eastAsia" w:ascii="微软雅黑" w:hAnsi="微软雅黑" w:eastAsia="微软雅黑" w:cs="宋体"/>
              </w:rPr>
              <w:t>　　其中：办公用房（平方米）</w:t>
            </w:r>
          </w:p>
        </w:tc>
        <w:tc>
          <w:tcPr>
            <w:tcW w:w="2835" w:type="dxa"/>
            <w:vAlign w:val="center"/>
          </w:tcPr>
          <w:p>
            <w:pPr>
              <w:pStyle w:val="15"/>
              <w:rPr>
                <w:lang w:eastAsia="zh-CN"/>
              </w:rPr>
            </w:pPr>
            <w:r>
              <w:rPr>
                <w:rFonts w:hint="eastAsia"/>
                <w:lang w:eastAsia="zh-CN"/>
              </w:rPr>
              <w:t>1185.30</w:t>
            </w:r>
          </w:p>
        </w:tc>
        <w:tc>
          <w:tcPr>
            <w:tcW w:w="2835" w:type="dxa"/>
            <w:vAlign w:val="center"/>
          </w:tcPr>
          <w:p>
            <w:pPr>
              <w:pStyle w:val="13"/>
              <w:rPr>
                <w:lang w:eastAsia="zh-CN"/>
              </w:rPr>
            </w:pPr>
            <w:r>
              <w:rPr>
                <w:rFonts w:hint="eastAsia"/>
                <w:lang w:eastAsia="zh-CN"/>
              </w:rPr>
              <w:t>240.26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2</w:t>
            </w:r>
            <w:r>
              <w:rPr>
                <w:rFonts w:hint="eastAsia" w:ascii="微软雅黑" w:hAnsi="微软雅黑" w:eastAsia="微软雅黑" w:cs="宋体"/>
              </w:rPr>
              <w:t>、车辆（台、辆）</w:t>
            </w:r>
          </w:p>
        </w:tc>
        <w:tc>
          <w:tcPr>
            <w:tcW w:w="2835" w:type="dxa"/>
            <w:vAlign w:val="center"/>
          </w:tcPr>
          <w:p>
            <w:pPr>
              <w:pStyle w:val="15"/>
              <w:rPr>
                <w:lang w:eastAsia="zh-CN"/>
              </w:rPr>
            </w:pPr>
            <w:r>
              <w:rPr>
                <w:rFonts w:hint="eastAsia"/>
                <w:lang w:eastAsia="zh-CN"/>
              </w:rPr>
              <w:t>14</w:t>
            </w:r>
          </w:p>
        </w:tc>
        <w:tc>
          <w:tcPr>
            <w:tcW w:w="2835" w:type="dxa"/>
            <w:vAlign w:val="center"/>
          </w:tcPr>
          <w:p>
            <w:pPr>
              <w:pStyle w:val="13"/>
              <w:rPr>
                <w:lang w:eastAsia="zh-CN"/>
              </w:rPr>
            </w:pPr>
            <w:r>
              <w:rPr>
                <w:rFonts w:hint="eastAsia"/>
                <w:lang w:eastAsia="zh-CN"/>
              </w:rPr>
              <w:t>213.61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3</w:t>
            </w:r>
            <w:r>
              <w:rPr>
                <w:rFonts w:hint="eastAsia" w:ascii="微软雅黑" w:hAnsi="微软雅黑" w:eastAsia="微软雅黑" w:cs="宋体"/>
              </w:rPr>
              <w:t>、单价在</w:t>
            </w:r>
            <w:r>
              <w:rPr>
                <w:rFonts w:ascii="微软雅黑" w:hAnsi="微软雅黑" w:eastAsia="微软雅黑"/>
              </w:rPr>
              <w:t>20</w:t>
            </w:r>
            <w:r>
              <w:rPr>
                <w:rFonts w:hint="eastAsia" w:ascii="微软雅黑" w:hAnsi="微软雅黑" w:eastAsia="微软雅黑" w:cs="宋体"/>
              </w:rPr>
              <w:t>万元以上的设备</w:t>
            </w:r>
          </w:p>
        </w:tc>
        <w:tc>
          <w:tcPr>
            <w:tcW w:w="2835" w:type="dxa"/>
            <w:vAlign w:val="center"/>
          </w:tcPr>
          <w:p>
            <w:pPr>
              <w:pStyle w:val="15"/>
              <w:rPr>
                <w:lang w:eastAsia="zh-CN"/>
              </w:rPr>
            </w:pPr>
            <w:r>
              <w:rPr>
                <w:rFonts w:hint="eastAsia"/>
                <w:lang w:eastAsia="zh-CN"/>
              </w:rPr>
              <w:t>0</w:t>
            </w:r>
          </w:p>
        </w:tc>
        <w:tc>
          <w:tcPr>
            <w:tcW w:w="2835"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ascii="微软雅黑" w:hAnsi="微软雅黑" w:eastAsia="微软雅黑"/>
              </w:rPr>
            </w:pPr>
            <w:r>
              <w:rPr>
                <w:rFonts w:ascii="微软雅黑" w:hAnsi="微软雅黑" w:eastAsia="微软雅黑"/>
              </w:rPr>
              <w:t>4</w:t>
            </w:r>
            <w:r>
              <w:rPr>
                <w:rFonts w:hint="eastAsia" w:ascii="微软雅黑" w:hAnsi="微软雅黑" w:eastAsia="微软雅黑" w:cs="宋体"/>
              </w:rPr>
              <w:t>、其他固定资产</w:t>
            </w:r>
          </w:p>
        </w:tc>
        <w:tc>
          <w:tcPr>
            <w:tcW w:w="2835" w:type="dxa"/>
            <w:vAlign w:val="center"/>
          </w:tcPr>
          <w:p>
            <w:pPr>
              <w:pStyle w:val="15"/>
              <w:rPr>
                <w:lang w:eastAsia="zh-CN"/>
              </w:rPr>
            </w:pPr>
            <w:r>
              <w:rPr>
                <w:rFonts w:hint="eastAsia"/>
                <w:lang w:eastAsia="zh-CN"/>
              </w:rPr>
              <w:t>1109</w:t>
            </w:r>
          </w:p>
        </w:tc>
        <w:tc>
          <w:tcPr>
            <w:tcW w:w="2835" w:type="dxa"/>
            <w:vAlign w:val="center"/>
          </w:tcPr>
          <w:p>
            <w:pPr>
              <w:pStyle w:val="13"/>
              <w:rPr>
                <w:lang w:eastAsia="zh-CN"/>
              </w:rPr>
            </w:pPr>
            <w:r>
              <w:rPr>
                <w:rFonts w:hint="eastAsia"/>
                <w:lang w:eastAsia="zh-CN"/>
              </w:rPr>
              <w:t>869.04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6EA6B"/>
    <w:multiLevelType w:val="singleLevel"/>
    <w:tmpl w:val="1E66EA6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GE5YWVjZWM3MDMwMjg5OGUzZThiMWY1ZjNiYjAifQ=="/>
  </w:docVars>
  <w:rsids>
    <w:rsidRoot w:val="00753B97"/>
    <w:rsid w:val="005507CB"/>
    <w:rsid w:val="00753B97"/>
    <w:rsid w:val="00836E9B"/>
    <w:rsid w:val="04581CB1"/>
    <w:rsid w:val="0EB84192"/>
    <w:rsid w:val="120B6268"/>
    <w:rsid w:val="12D1335A"/>
    <w:rsid w:val="1ED547D4"/>
    <w:rsid w:val="215D732E"/>
    <w:rsid w:val="21D56297"/>
    <w:rsid w:val="2403533D"/>
    <w:rsid w:val="3636243C"/>
    <w:rsid w:val="39F03816"/>
    <w:rsid w:val="3A266C45"/>
    <w:rsid w:val="439E0787"/>
    <w:rsid w:val="4B966C9F"/>
    <w:rsid w:val="4F0A1EFE"/>
    <w:rsid w:val="4FB3728A"/>
    <w:rsid w:val="5A9A5CDA"/>
    <w:rsid w:val="5AC008FD"/>
    <w:rsid w:val="5C173BE4"/>
    <w:rsid w:val="5D355860"/>
    <w:rsid w:val="602A0F80"/>
    <w:rsid w:val="62F50273"/>
    <w:rsid w:val="6A4B08EB"/>
    <w:rsid w:val="6DA60773"/>
    <w:rsid w:val="6EF610F4"/>
    <w:rsid w:val="73D2575F"/>
    <w:rsid w:val="74A114F9"/>
    <w:rsid w:val="76170FB7"/>
    <w:rsid w:val="7A5F5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8"/>
    <w:unhideWhenUsed/>
    <w:qFormat/>
    <w:uiPriority w:val="99"/>
    <w:pPr>
      <w:tabs>
        <w:tab w:val="center" w:pos="4153"/>
        <w:tab w:val="right" w:pos="8306"/>
      </w:tabs>
      <w:snapToGrid w:val="0"/>
    </w:pPr>
    <w:rPr>
      <w:sz w:val="18"/>
      <w:szCs w:val="18"/>
    </w:rPr>
  </w:style>
  <w:style w:type="paragraph" w:styleId="3">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27">
    <w:name w:val="页眉 Char"/>
    <w:basedOn w:val="8"/>
    <w:link w:val="3"/>
    <w:uiPriority w:val="99"/>
    <w:rPr>
      <w:rFonts w:ascii="Times New Roman" w:hAnsi="Times New Roman" w:eastAsia="Times New Roman"/>
      <w:sz w:val="18"/>
      <w:szCs w:val="18"/>
      <w:lang w:eastAsia="uk-UA"/>
    </w:rPr>
  </w:style>
  <w:style w:type="character" w:customStyle="1" w:styleId="28">
    <w:name w:val="页脚 Char"/>
    <w:basedOn w:val="8"/>
    <w:link w:val="2"/>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2024-02-20T17:36:40Z</dcterms:created>
  <dcterms:modified xsi:type="dcterms:W3CDTF">2024-02-20T09:36:40Z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2024-02-20T17:36:42Z</dcterms:created>
  <dcterms:modified xsi:type="dcterms:W3CDTF">2024-02-20T09:36:42Z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2024-02-20T17:36:40Z</dcterms:created>
  <dcterms:modified xsi:type="dcterms:W3CDTF">2024-02-20T09:36:40Z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2024-02-20T17:36:39Z</dcterms:created>
  <dcterms:modified xsi:type="dcterms:W3CDTF">2024-02-20T09:36:39Z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2024-02-20T17:36:33Z</dcterms:created>
  <dcterms:modified xsi:type="dcterms:W3CDTF">2024-02-20T09:36:33Z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2024-02-20T17:36:41Z</dcterms:created>
  <dcterms:modified xsi:type="dcterms:W3CDTF">2024-02-20T09:36:41Z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2024-02-20T17:36:41Z</dcterms:created>
  <dcterms:modified xsi:type="dcterms:W3CDTF">2024-02-20T09:36:41Z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2024-02-20T17:36:37Z</dcterms:created>
  <dcterms:modified xsi:type="dcterms:W3CDTF">2024-02-20T09:36:37Z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2024-02-20T17:36:40Z</dcterms:created>
  <dcterms:modified xsi:type="dcterms:W3CDTF">2024-02-20T09:36:39Z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2024-02-20T17:36:41Z</dcterms:created>
  <dcterms:modified xsi:type="dcterms:W3CDTF">2024-02-20T09:36:41Z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2024-02-20T17:36:40Z</dcterms:created>
  <dcterms:modified xsi:type="dcterms:W3CDTF">2024-02-20T09:36:40Z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2024-02-20T17:36:39Z</dcterms:created>
  <dcterms:modified xsi:type="dcterms:W3CDTF">2024-02-20T09:36:39Z</dcterms:modified>
</cp:coreProperties>
</file>

<file path=customXml/itemProps1.xml><?xml version="1.0" encoding="utf-8"?>
<ds:datastoreItem xmlns:ds="http://schemas.openxmlformats.org/officeDocument/2006/customXml" ds:itemID="{D7727EA8-AD14-4BFA-BA67-8D5873821FAD}">
  <ds:schemaRefs/>
</ds:datastoreItem>
</file>

<file path=customXml/itemProps10.xml><?xml version="1.0" encoding="utf-8"?>
<ds:datastoreItem xmlns:ds="http://schemas.openxmlformats.org/officeDocument/2006/customXml" ds:itemID="{05134221-3F73-4016-8C44-A79D28EFE47B}">
  <ds:schemaRefs/>
</ds:datastoreItem>
</file>

<file path=customXml/itemProps11.xml><?xml version="1.0" encoding="utf-8"?>
<ds:datastoreItem xmlns:ds="http://schemas.openxmlformats.org/officeDocument/2006/customXml" ds:itemID="{F2B402E4-0095-4431-BC8E-8D16511CAE32}">
  <ds:schemaRefs/>
</ds:datastoreItem>
</file>

<file path=customXml/itemProps12.xml><?xml version="1.0" encoding="utf-8"?>
<ds:datastoreItem xmlns:ds="http://schemas.openxmlformats.org/officeDocument/2006/customXml" ds:itemID="{DB1D785D-5969-4189-AFF9-0FABBA4575FB}">
  <ds:schemaRefs/>
</ds:datastoreItem>
</file>

<file path=customXml/itemProps13.xml><?xml version="1.0" encoding="utf-8"?>
<ds:datastoreItem xmlns:ds="http://schemas.openxmlformats.org/officeDocument/2006/customXml" ds:itemID="{70E8E489-EB9D-4762-B3CB-734881153EAC}">
  <ds:schemaRefs/>
</ds:datastoreItem>
</file>

<file path=customXml/itemProps14.xml><?xml version="1.0" encoding="utf-8"?>
<ds:datastoreItem xmlns:ds="http://schemas.openxmlformats.org/officeDocument/2006/customXml" ds:itemID="{28202C39-EA20-4C32-A90A-A7CE2AFBCCDC}">
  <ds:schemaRefs/>
</ds:datastoreItem>
</file>

<file path=customXml/itemProps15.xml><?xml version="1.0" encoding="utf-8"?>
<ds:datastoreItem xmlns:ds="http://schemas.openxmlformats.org/officeDocument/2006/customXml" ds:itemID="{AFA4CA0D-6E7F-4F27-B583-2A06F93B1A38}">
  <ds:schemaRefs/>
</ds:datastoreItem>
</file>

<file path=customXml/itemProps16.xml><?xml version="1.0" encoding="utf-8"?>
<ds:datastoreItem xmlns:ds="http://schemas.openxmlformats.org/officeDocument/2006/customXml" ds:itemID="{F7997FD2-F369-49FB-A868-7B8E9120F63B}">
  <ds:schemaRefs/>
</ds:datastoreItem>
</file>

<file path=customXml/itemProps17.xml><?xml version="1.0" encoding="utf-8"?>
<ds:datastoreItem xmlns:ds="http://schemas.openxmlformats.org/officeDocument/2006/customXml" ds:itemID="{6B98B6D6-CF7B-4AD4-BE73-355CA8B4F020}">
  <ds:schemaRefs/>
</ds:datastoreItem>
</file>

<file path=customXml/itemProps18.xml><?xml version="1.0" encoding="utf-8"?>
<ds:datastoreItem xmlns:ds="http://schemas.openxmlformats.org/officeDocument/2006/customXml" ds:itemID="{22ACA5DB-278A-47F2-8E1B-0B4F2A09EBE5}">
  <ds:schemaRefs/>
</ds:datastoreItem>
</file>

<file path=customXml/itemProps19.xml><?xml version="1.0" encoding="utf-8"?>
<ds:datastoreItem xmlns:ds="http://schemas.openxmlformats.org/officeDocument/2006/customXml" ds:itemID="{61A672D0-BFE5-45B6-B8EE-07847D5AF181}">
  <ds:schemaRefs/>
</ds:datastoreItem>
</file>

<file path=customXml/itemProps2.xml><?xml version="1.0" encoding="utf-8"?>
<ds:datastoreItem xmlns:ds="http://schemas.openxmlformats.org/officeDocument/2006/customXml" ds:itemID="{9CDEFE86-8F4C-4D9D-950A-6D38E93F0607}">
  <ds:schemaRefs/>
</ds:datastoreItem>
</file>

<file path=customXml/itemProps20.xml><?xml version="1.0" encoding="utf-8"?>
<ds:datastoreItem xmlns:ds="http://schemas.openxmlformats.org/officeDocument/2006/customXml" ds:itemID="{2DC6D42A-86FE-4606-8B35-2183E86B1AA5}">
  <ds:schemaRefs/>
</ds:datastoreItem>
</file>

<file path=customXml/itemProps21.xml><?xml version="1.0" encoding="utf-8"?>
<ds:datastoreItem xmlns:ds="http://schemas.openxmlformats.org/officeDocument/2006/customXml" ds:itemID="{092CC443-CE08-450B-9E8F-1C8FF228F585}">
  <ds:schemaRefs/>
</ds:datastoreItem>
</file>

<file path=customXml/itemProps22.xml><?xml version="1.0" encoding="utf-8"?>
<ds:datastoreItem xmlns:ds="http://schemas.openxmlformats.org/officeDocument/2006/customXml" ds:itemID="{2D406C6C-F1C4-4E46-A186-40DAD74B8080}">
  <ds:schemaRefs/>
</ds:datastoreItem>
</file>

<file path=customXml/itemProps23.xml><?xml version="1.0" encoding="utf-8"?>
<ds:datastoreItem xmlns:ds="http://schemas.openxmlformats.org/officeDocument/2006/customXml" ds:itemID="{02A949E2-7803-4799-BB29-36DAFEDE9588}">
  <ds:schemaRefs/>
</ds:datastoreItem>
</file>

<file path=customXml/itemProps24.xml><?xml version="1.0" encoding="utf-8"?>
<ds:datastoreItem xmlns:ds="http://schemas.openxmlformats.org/officeDocument/2006/customXml" ds:itemID="{D6E9D7A4-E1A2-4691-B7B7-CD144F18975E}">
  <ds:schemaRefs/>
</ds:datastoreItem>
</file>

<file path=customXml/itemProps3.xml><?xml version="1.0" encoding="utf-8"?>
<ds:datastoreItem xmlns:ds="http://schemas.openxmlformats.org/officeDocument/2006/customXml" ds:itemID="{8A8DB68F-41BD-4317-B839-7CF41314B709}">
  <ds:schemaRefs/>
</ds:datastoreItem>
</file>

<file path=customXml/itemProps4.xml><?xml version="1.0" encoding="utf-8"?>
<ds:datastoreItem xmlns:ds="http://schemas.openxmlformats.org/officeDocument/2006/customXml" ds:itemID="{F0358A6D-488A-4CC0-A6B0-993ED297472E}">
  <ds:schemaRefs/>
</ds:datastoreItem>
</file>

<file path=customXml/itemProps5.xml><?xml version="1.0" encoding="utf-8"?>
<ds:datastoreItem xmlns:ds="http://schemas.openxmlformats.org/officeDocument/2006/customXml" ds:itemID="{0A01DD63-1B9A-45E3-A1A7-F3E1F027CA3C}">
  <ds:schemaRefs/>
</ds:datastoreItem>
</file>

<file path=customXml/itemProps6.xml><?xml version="1.0" encoding="utf-8"?>
<ds:datastoreItem xmlns:ds="http://schemas.openxmlformats.org/officeDocument/2006/customXml" ds:itemID="{1D42575A-16A8-4E3C-81D7-6F02A9D536CA}">
  <ds:schemaRefs/>
</ds:datastoreItem>
</file>

<file path=customXml/itemProps7.xml><?xml version="1.0" encoding="utf-8"?>
<ds:datastoreItem xmlns:ds="http://schemas.openxmlformats.org/officeDocument/2006/customXml" ds:itemID="{9174F873-D483-454F-910D-370784FE8EDA}">
  <ds:schemaRefs/>
</ds:datastoreItem>
</file>

<file path=customXml/itemProps8.xml><?xml version="1.0" encoding="utf-8"?>
<ds:datastoreItem xmlns:ds="http://schemas.openxmlformats.org/officeDocument/2006/customXml" ds:itemID="{B01284A6-36F5-49C1-B712-02CF766C1CB3}">
  <ds:schemaRefs/>
</ds:datastoreItem>
</file>

<file path=customXml/itemProps9.xml><?xml version="1.0" encoding="utf-8"?>
<ds:datastoreItem xmlns:ds="http://schemas.openxmlformats.org/officeDocument/2006/customXml" ds:itemID="{70150997-7F01-4708-88AB-F1AF5752BAC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5781</Words>
  <Characters>7224</Characters>
  <Lines>67</Lines>
  <Paragraphs>18</Paragraphs>
  <TotalTime>3</TotalTime>
  <ScaleCrop>false</ScaleCrop>
  <LinksUpToDate>false</LinksUpToDate>
  <CharactersWithSpaces>7370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2024-02-20T17:36:00Z</dcterms:created>
  <dc:creator>lenovo01</dc:creator>
  <cp:lastModifiedBy>周芳同♏</cp:lastModifiedBy>
  <cp:lastPrinted>2024-02-22T06:53:00Z</cp:lastPrinted>
  <dcterms:modified xsi:type="dcterms:W3CDTF">2024-08-16T01:13:59Z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F6F624049E0142D7B9EBDAC7A47E1BAF_13</vt:lpwstr>
  </property>
</Properties>
</file>